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6A47" w14:textId="78E2B3A9" w:rsidR="00CF5685" w:rsidRPr="00FB4010" w:rsidRDefault="00022EBC" w:rsidP="00022EBC">
      <w:pPr>
        <w:autoSpaceDE w:val="0"/>
        <w:autoSpaceDN w:val="0"/>
        <w:adjustRightInd w:val="0"/>
        <w:spacing w:after="240" w:line="276" w:lineRule="auto"/>
        <w:rPr>
          <w:rFonts w:ascii="Aptos" w:hAnsi="Aptos" w:cs="Calibri"/>
          <w:b/>
          <w:bCs/>
          <w:color w:val="002FA7" w:themeColor="background2"/>
          <w:sz w:val="28"/>
          <w:szCs w:val="28"/>
        </w:rPr>
      </w:pPr>
      <w:r w:rsidRPr="00FB4010">
        <w:rPr>
          <w:rFonts w:ascii="Aptos" w:hAnsi="Aptos" w:cs="Calibri"/>
          <w:b/>
          <w:bCs/>
          <w:color w:val="002FA7" w:themeColor="background2"/>
          <w:sz w:val="28"/>
          <w:szCs w:val="28"/>
        </w:rPr>
        <w:t xml:space="preserve">Performance </w:t>
      </w:r>
      <w:r>
        <w:rPr>
          <w:rFonts w:ascii="Aptos" w:hAnsi="Aptos" w:cs="Calibri"/>
          <w:b/>
          <w:bCs/>
          <w:color w:val="002FA7" w:themeColor="background2"/>
          <w:sz w:val="28"/>
          <w:szCs w:val="28"/>
        </w:rPr>
        <w:t>a</w:t>
      </w:r>
      <w:r w:rsidRPr="00FB4010">
        <w:rPr>
          <w:rFonts w:ascii="Aptos" w:hAnsi="Aptos" w:cs="Calibri"/>
          <w:b/>
          <w:bCs/>
          <w:color w:val="002FA7" w:themeColor="background2"/>
          <w:sz w:val="28"/>
          <w:szCs w:val="28"/>
        </w:rPr>
        <w:t>nd Outlook</w:t>
      </w:r>
    </w:p>
    <w:p w14:paraId="06F6C88B" w14:textId="77777777" w:rsidR="00E21184" w:rsidRPr="00E21184" w:rsidRDefault="00E21184" w:rsidP="00E21184">
      <w:pPr>
        <w:spacing w:before="240" w:after="240" w:line="276" w:lineRule="auto"/>
        <w:rPr>
          <w:rFonts w:cs="Calibri"/>
          <w:szCs w:val="22"/>
        </w:rPr>
      </w:pPr>
      <w:r w:rsidRPr="00E21184">
        <w:rPr>
          <w:rFonts w:cs="Calibri"/>
          <w:szCs w:val="22"/>
        </w:rPr>
        <w:t xml:space="preserve">El segundo trimestre mostró la capacidad de los mercados para absorber </w:t>
      </w:r>
      <w:r w:rsidRPr="00E21184">
        <w:rPr>
          <w:rFonts w:cs="Calibri"/>
          <w:i/>
          <w:iCs/>
          <w:szCs w:val="22"/>
        </w:rPr>
        <w:t>shocks</w:t>
      </w:r>
      <w:r w:rsidRPr="00E21184">
        <w:rPr>
          <w:rFonts w:cs="Calibri"/>
          <w:szCs w:val="22"/>
        </w:rPr>
        <w:t xml:space="preserve"> y recuperar el apetito por riesgo. Los mercados financieros globales atravesaron un entorno desafiante, marcado por una alta volatilidad inicial, conflictos geopolíticos y señales mixtas desde la política fiscal y monetaria estadounidense. Abril comenzó con una fuerte corrección tras el anuncio de tarifas recíprocas en el esperado </w:t>
      </w:r>
      <w:r w:rsidRPr="00E21184">
        <w:rPr>
          <w:rFonts w:cs="Calibri"/>
          <w:i/>
          <w:iCs/>
          <w:szCs w:val="22"/>
        </w:rPr>
        <w:t>“Liberation Day”</w:t>
      </w:r>
      <w:r w:rsidRPr="00E21184">
        <w:rPr>
          <w:rFonts w:cs="Calibri"/>
          <w:szCs w:val="22"/>
        </w:rPr>
        <w:t>, lo que provocó caídas de hasta 12% en el S&amp;P 500 y un repunte de 50 puntos básicos en los rendimientos del bono del Tesoro a 10 años. Sin embargo, el gobierno estadounidense respondió con un tono más moderado, al pausar los aranceles por 90 días y abrir espacio a negociaciones, lo que permitió una rápida recuperación de los activos de riesgo.</w:t>
      </w:r>
    </w:p>
    <w:p w14:paraId="44783EE2" w14:textId="77777777" w:rsidR="00E21184" w:rsidRPr="00E21184" w:rsidRDefault="00E21184" w:rsidP="00E21184">
      <w:pPr>
        <w:spacing w:before="240" w:after="240" w:line="276" w:lineRule="auto"/>
        <w:rPr>
          <w:rFonts w:cs="Calibri"/>
          <w:szCs w:val="22"/>
        </w:rPr>
      </w:pPr>
      <w:r w:rsidRPr="00E21184">
        <w:rPr>
          <w:rFonts w:cs="Calibri"/>
          <w:szCs w:val="22"/>
        </w:rPr>
        <w:t xml:space="preserve">Avanzando en el trimestre, los mercados retomaron su impulso alcista, cuyo repunte estuvo liderado por acciones </w:t>
      </w:r>
      <w:r w:rsidRPr="00E21184">
        <w:rPr>
          <w:rFonts w:cs="Calibri"/>
          <w:i/>
          <w:iCs/>
          <w:szCs w:val="22"/>
        </w:rPr>
        <w:t>Large Cap growth</w:t>
      </w:r>
      <w:r w:rsidRPr="00E21184">
        <w:rPr>
          <w:rFonts w:cs="Calibri"/>
          <w:szCs w:val="22"/>
        </w:rPr>
        <w:t xml:space="preserve"> en Estados Unidos, especialmente por acciones tecnológicas, apoyadas por una sólida temporada de resultados corporativos y una mejora del sentimiento de los inversionistas. En este sentido, tanto el S&amp;P500 como el Nasdaq recuperaron completamente las caídas de abril e incluso registraron nuevos máximos históricos.</w:t>
      </w:r>
    </w:p>
    <w:p w14:paraId="54113B64" w14:textId="77777777" w:rsidR="00E21184" w:rsidRPr="00E21184" w:rsidRDefault="00E21184" w:rsidP="00E21184">
      <w:pPr>
        <w:spacing w:before="240" w:after="240" w:line="276" w:lineRule="auto"/>
        <w:rPr>
          <w:rFonts w:cs="Calibri"/>
          <w:szCs w:val="22"/>
        </w:rPr>
      </w:pPr>
      <w:r w:rsidRPr="00E21184">
        <w:rPr>
          <w:rFonts w:cs="Calibri"/>
          <w:szCs w:val="22"/>
        </w:rPr>
        <w:t>La depreciación del dólar (DXY -7,1% en el segundo trimestre y -10% YTD) favoreció a los commodities, particularmente al oro, que extendió sus alzas y actuó como viento de cola para activos internacionales, continuando con la tendencia de mayor diversificación fuera de EE.UU. Este escenario favoreció especialmente los mercados emergentes, destacando Asia Emergente y América Latina como los grandes ganadores.</w:t>
      </w:r>
    </w:p>
    <w:p w14:paraId="34205C9F" w14:textId="77777777" w:rsidR="00E21184" w:rsidRPr="00E21184" w:rsidRDefault="00E21184" w:rsidP="00E21184">
      <w:pPr>
        <w:spacing w:before="240" w:after="240" w:line="276" w:lineRule="auto"/>
        <w:rPr>
          <w:rFonts w:cs="Calibri"/>
          <w:szCs w:val="22"/>
        </w:rPr>
      </w:pPr>
      <w:r w:rsidRPr="00E21184">
        <w:rPr>
          <w:rFonts w:cs="Calibri"/>
          <w:szCs w:val="22"/>
        </w:rPr>
        <w:t>En junio, se extendió el optimismo, con alzas generalizadas en las acciones globales y una disminución significativa en la volatilidad tanto en renta fija como en renta variable. Los mercados adoptaron una postura más complaciente frente a riesgos aún latentes, especialmente a medida que la Reserva Federal proyectaba recortes de tasas para la segunda mitad del año, pese a los mensajes mixtos entre sus miembros. En paralelo, el conflicto entre Irán e Israel provocó repuntes transitorios en los precios del petróleo, aunque su impacto fue limitado, y el crudo Brent cerró el trimestre en USD 68 por barril.</w:t>
      </w:r>
    </w:p>
    <w:p w14:paraId="588E0BD0" w14:textId="77777777" w:rsidR="00E21184" w:rsidRPr="00E21184" w:rsidRDefault="00E21184" w:rsidP="00E21184">
      <w:pPr>
        <w:spacing w:before="240" w:after="240" w:line="276" w:lineRule="auto"/>
        <w:rPr>
          <w:rFonts w:cs="Calibri"/>
          <w:szCs w:val="22"/>
        </w:rPr>
      </w:pPr>
      <w:r w:rsidRPr="00E21184">
        <w:rPr>
          <w:rFonts w:cs="Calibri"/>
          <w:szCs w:val="22"/>
        </w:rPr>
        <w:t xml:space="preserve">En tanto, la renta fija global continuó bajo presión, con una curva más empinada y alzas en los tramos largos ante el creciente déficit proyectado por el paquete fiscal </w:t>
      </w:r>
      <w:r w:rsidRPr="00E21184">
        <w:rPr>
          <w:rFonts w:cs="Calibri"/>
          <w:i/>
          <w:iCs/>
          <w:szCs w:val="22"/>
        </w:rPr>
        <w:t>“One Big Beautiful Bill</w:t>
      </w:r>
      <w:r w:rsidRPr="00E21184">
        <w:rPr>
          <w:rFonts w:cs="Calibri"/>
          <w:szCs w:val="22"/>
        </w:rPr>
        <w:t>” y negociaciones sobre el límite de deuda. En este entorno, los inversionistas mostraron una mayor preferencia por activos de corta duración y por deuda de mercados emergentes.</w:t>
      </w:r>
    </w:p>
    <w:p w14:paraId="6CBAF037" w14:textId="5CBAD7D4" w:rsidR="00E01DB3" w:rsidRDefault="00AC4538" w:rsidP="00F44C98">
      <w:pPr>
        <w:rPr>
          <w:rFonts w:cs="Calibri"/>
          <w:szCs w:val="22"/>
        </w:rPr>
      </w:pPr>
      <w:r w:rsidRPr="00AC4538">
        <w:rPr>
          <w:rFonts w:cs="Calibri"/>
          <w:szCs w:val="22"/>
        </w:rPr>
        <w:t>.</w:t>
      </w:r>
      <w:r w:rsidR="00E01DB3">
        <w:rPr>
          <w:rFonts w:cs="Calibri"/>
          <w:szCs w:val="22"/>
        </w:rPr>
        <w:br w:type="page"/>
      </w:r>
    </w:p>
    <w:p w14:paraId="539CDF86" w14:textId="5090A448" w:rsidR="00F44C98" w:rsidRPr="00F44C98" w:rsidRDefault="007962FC" w:rsidP="00E73334">
      <w:pPr>
        <w:autoSpaceDE w:val="0"/>
        <w:autoSpaceDN w:val="0"/>
        <w:adjustRightInd w:val="0"/>
        <w:spacing w:after="300" w:line="276" w:lineRule="auto"/>
        <w:rPr>
          <w:rFonts w:ascii="Aptos" w:hAnsi="Aptos"/>
          <w:b/>
          <w:bCs/>
          <w:color w:val="002FA7" w:themeColor="background2"/>
          <w:sz w:val="28"/>
          <w:szCs w:val="28"/>
        </w:rPr>
      </w:pPr>
      <w:r w:rsidRPr="007962FC">
        <w:rPr>
          <w:rFonts w:ascii="Aptos" w:hAnsi="Aptos"/>
          <w:b/>
          <w:bCs/>
          <w:color w:val="002FA7" w:themeColor="background2"/>
          <w:sz w:val="28"/>
          <w:szCs w:val="28"/>
        </w:rPr>
        <w:lastRenderedPageBreak/>
        <w:t>Fondo Mutuo Compass Equilibrio</w:t>
      </w:r>
    </w:p>
    <w:p w14:paraId="7100521A" w14:textId="77777777" w:rsidR="007962FC" w:rsidRPr="007962FC" w:rsidRDefault="007962FC" w:rsidP="007962FC">
      <w:pPr>
        <w:spacing w:before="240" w:after="240" w:line="276" w:lineRule="auto"/>
        <w:rPr>
          <w:rFonts w:eastAsia="Times New Roman"/>
          <w:lang w:eastAsia="es-CL"/>
        </w:rPr>
      </w:pPr>
      <w:r w:rsidRPr="007962FC">
        <w:rPr>
          <w:rFonts w:eastAsia="Times New Roman"/>
          <w:lang w:eastAsia="es-CL"/>
        </w:rPr>
        <w:t>Las acciones chilenas continuaron con un buen desempeño durante el segundo trimestre, acumulando un rendimiento cercano al 23,0% en la primera mitad del año, consolidándose como uno de los grandes ganadores a nivel global. Por otro lado, la renta fija cerró el primer semestre del año con desempeños dispares: la parte más larga de la curva asociada a bonos de gobierno se mantuvo prácticamente sin variación, mientras que la renta fija corporativa registró un rendimiento cercano al 5,0% en los primeros seis meses del año. Durante el segundo trimestre, el peso chileno continuó apreciándose, cerrando con una variación de 6,8% en el semestre, en línea con la depreciación del DXY (-11,0%) y el fuerte incremento del precio del cobre, que subió un 25,0% en USD. En este contexto, el fondo cerró el primer semestre del año con una variación de 4,8%, a pesar de la significativa apreciación del peso chileno, impulsado por la sobreexposición a renta variable local y el repunte de las acciones globales.</w:t>
      </w:r>
    </w:p>
    <w:p w14:paraId="345AA66F" w14:textId="77777777" w:rsidR="007962FC" w:rsidRPr="007962FC" w:rsidRDefault="007962FC" w:rsidP="007962FC">
      <w:pPr>
        <w:spacing w:before="240" w:after="240" w:line="276" w:lineRule="auto"/>
        <w:rPr>
          <w:rFonts w:eastAsia="Times New Roman"/>
          <w:lang w:eastAsia="es-CL"/>
        </w:rPr>
      </w:pPr>
      <w:r w:rsidRPr="007962FC">
        <w:rPr>
          <w:rFonts w:eastAsia="Times New Roman"/>
          <w:lang w:eastAsia="es-CL"/>
        </w:rPr>
        <w:t xml:space="preserve">Para mayor información de los retornos del fondo, por favor revisar su factsheet en el siguiente enlace: </w:t>
      </w:r>
      <w:hyperlink r:id="rId11" w:history="1">
        <w:r w:rsidRPr="005E6B45">
          <w:rPr>
            <w:rStyle w:val="Hipervnculo"/>
            <w:rFonts w:ascii="Aptos" w:eastAsia="Times New Roman" w:hAnsi="Aptos"/>
            <w:b/>
            <w:bCs/>
            <w:color w:val="002FA7" w:themeColor="background2"/>
            <w:lang w:eastAsia="es-CL"/>
          </w:rPr>
          <w:t>Fondo Mutuo Compass Equilibrio | Compass Group</w:t>
        </w:r>
      </w:hyperlink>
      <w:r w:rsidRPr="005E6B45">
        <w:rPr>
          <w:rFonts w:ascii="Aptos" w:eastAsia="Times New Roman" w:hAnsi="Aptos"/>
          <w:b/>
          <w:bCs/>
          <w:color w:val="002FA7" w:themeColor="background2"/>
          <w:u w:val="single"/>
          <w:lang w:eastAsia="es-CL"/>
        </w:rPr>
        <w:t>.</w:t>
      </w:r>
    </w:p>
    <w:p w14:paraId="04F01DCC" w14:textId="63210F10" w:rsidR="00951297" w:rsidRDefault="00E7092F" w:rsidP="00022EBC">
      <w:pPr>
        <w:spacing w:before="240" w:after="240" w:line="276" w:lineRule="auto"/>
        <w:rPr>
          <w:rFonts w:ascii="Calibri Light" w:hAnsi="Calibri Light" w:cs="Calibri Light"/>
          <w:noProof/>
          <w:sz w:val="21"/>
          <w:szCs w:val="21"/>
        </w:rPr>
      </w:pPr>
      <w:r w:rsidRPr="00AC4538">
        <w:rPr>
          <w:rFonts w:ascii="Calibri Light" w:hAnsi="Calibri Light" w:cs="Calibri Light"/>
          <w:noProof/>
          <w:sz w:val="21"/>
          <w:szCs w:val="21"/>
        </w:rPr>
        <w:t xml:space="preserve"> </w:t>
      </w:r>
    </w:p>
    <w:p w14:paraId="4C138FB9" w14:textId="1B49A306" w:rsidR="00951297" w:rsidRDefault="00E73334">
      <w:pPr>
        <w:jc w:val="left"/>
        <w:rPr>
          <w:rFonts w:ascii="Calibri Light" w:hAnsi="Calibri Light" w:cs="Calibri Light"/>
          <w:noProof/>
          <w:sz w:val="21"/>
          <w:szCs w:val="21"/>
        </w:rPr>
      </w:pPr>
      <w:r>
        <w:rPr>
          <w:rFonts w:ascii="Calibri" w:hAnsi="Calibri" w:cs="Calibri"/>
          <w:b/>
          <w:bCs/>
          <w:noProof/>
        </w:rPr>
        <mc:AlternateContent>
          <mc:Choice Requires="wps">
            <w:drawing>
              <wp:anchor distT="0" distB="0" distL="114300" distR="114300" simplePos="0" relativeHeight="251666443" behindDoc="0" locked="0" layoutInCell="1" allowOverlap="1" wp14:anchorId="57F4B09B" wp14:editId="2CE74C47">
                <wp:simplePos x="0" y="0"/>
                <wp:positionH relativeFrom="column">
                  <wp:posOffset>104775</wp:posOffset>
                </wp:positionH>
                <wp:positionV relativeFrom="paragraph">
                  <wp:posOffset>3790950</wp:posOffset>
                </wp:positionV>
                <wp:extent cx="1806278" cy="0"/>
                <wp:effectExtent l="0" t="0" r="10160" b="12700"/>
                <wp:wrapNone/>
                <wp:docPr id="299094956" name="Conector recto 15"/>
                <wp:cNvGraphicFramePr/>
                <a:graphic xmlns:a="http://schemas.openxmlformats.org/drawingml/2006/main">
                  <a:graphicData uri="http://schemas.microsoft.com/office/word/2010/wordprocessingShape">
                    <wps:wsp>
                      <wps:cNvCnPr/>
                      <wps:spPr>
                        <a:xfrm>
                          <a:off x="0" y="0"/>
                          <a:ext cx="1806278" cy="0"/>
                        </a:xfrm>
                        <a:prstGeom prst="line">
                          <a:avLst/>
                        </a:prstGeom>
                        <a:ln w="63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05875" id="Conector recto 15" o:spid="_x0000_s1026" style="position:absolute;z-index:251666443;visibility:visible;mso-wrap-style:square;mso-wrap-distance-left:9pt;mso-wrap-distance-top:0;mso-wrap-distance-right:9pt;mso-wrap-distance-bottom:0;mso-position-horizontal:absolute;mso-position-horizontal-relative:text;mso-position-vertical:absolute;mso-position-vertical-relative:text" from="8.25pt,298.5pt" to="150.5pt,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k2tvQEAAN0DAAAOAAAAZHJzL2Uyb0RvYy54bWysU8GO0zAQvSPxD5bvNGkRZRU13cOulguC&#13;&#10;FbAf4DrjxpLtsWzTpH/P2EnTFSAkVntxbM+85zdvJrvb0Rp2ghA1upavVzVn4CR22h1b/vTj4d0N&#13;&#10;ZzEJ1wmDDlp+hshv92/f7AbfwAZ7NB0ERiQuNoNveZ+Sb6oqyh6siCv04CioMFiR6BiOVRfEQOzW&#13;&#10;VJu63lYDhs4HlBAj3d5PQb4v/EqBTF+VipCYaTlpS2UNZT3ktdrvRHMMwvdazjLEC1RYoR09ulDd&#13;&#10;iyTYz6D/oLJaBoyo0kqirVApLaHUQNWs69+q+d4LD6UWMif6xab4erTyy+nOPQayYfCxif4x5CpG&#13;&#10;FWz+kj42FrPOi1kwJibpcn1Tbzcfqb3yEquuQB9i+gRoWd603GiX6xCNOH2OiR6j1EtKvjaODS3f&#13;&#10;vv9Ql6yIRncP2pgcK6MAdyawk6AmHo6b3DQieJZFJ+Po8lpD2aWzgYn+Gyimu6x6eiCP15VTSAku&#13;&#10;rWde4yg7wxQpWICzsn8B5/wMhTJ6/wNeEOVldGkBW+0w/E12Gi+S1ZR/cWCqO1twwO5culusoRkq&#13;&#10;zs3znof0+bnAr3/l/hcAAAD//wMAUEsDBBQABgAIAAAAIQD2W8pm3gAAAA8BAAAPAAAAZHJzL2Rv&#13;&#10;d25yZXYueG1sTE/LTsMwELwj8Q/WInGjdgsNkMapENAblxaQOLrxEkeN1yF2k/TvWSQkuKz2MTM7&#13;&#10;U6wn34oB+9gE0jCfKRBIVbAN1RreXjdXdyBiMmRNGwg1nDDCujw/K0xuw0hbHHapFixCMTcaXEpd&#13;&#10;LmWsHHoTZ6FD4ttn6L1JPPa1tL0ZWdy3cqFUJr1piD840+Gjw+qwO3q2MbiPlG4W6jmjzenrvZUv&#13;&#10;h1FqfXkxPa24PKxAJJzSHwN+MjARSja2D0eyUbQ8Z0tGalje33IwBlyrOTf7340sC/k/R/kNAAD/&#13;&#10;/wMAUEsBAi0AFAAGAAgAAAAhALaDOJL+AAAA4QEAABMAAAAAAAAAAAAAAAAAAAAAAFtDb250ZW50&#13;&#10;X1R5cGVzXS54bWxQSwECLQAUAAYACAAAACEAOP0h/9YAAACUAQAACwAAAAAAAAAAAAAAAAAvAQAA&#13;&#10;X3JlbHMvLnJlbHNQSwECLQAUAAYACAAAACEAidpNrb0BAADdAwAADgAAAAAAAAAAAAAAAAAuAgAA&#13;&#10;ZHJzL2Uyb0RvYy54bWxQSwECLQAUAAYACAAAACEA9lvKZt4AAAAPAQAADwAAAAAAAAAAAAAAAAAX&#13;&#10;BAAAZHJzL2Rvd25yZXYueG1sUEsFBgAAAAAEAAQA8wAAACIFAAAAAA==&#13;&#10;" strokecolor="#002fa7 [3214]" strokeweight=".5pt">
                <v:stroke joinstyle="miter"/>
              </v:line>
            </w:pict>
          </mc:Fallback>
        </mc:AlternateContent>
      </w:r>
      <w:r w:rsidR="00951297">
        <w:rPr>
          <w:rFonts w:ascii="Calibri Light" w:hAnsi="Calibri Light" w:cs="Calibri Light"/>
          <w:noProof/>
          <w:sz w:val="21"/>
          <w:szCs w:val="21"/>
        </w:rPr>
        <w:br w:type="page"/>
      </w:r>
      <w:r w:rsidR="00951297" w:rsidRPr="00F0243B">
        <w:rPr>
          <w:rFonts w:ascii="Calibri" w:hAnsi="Calibri" w:cs="Calibri"/>
          <w:b/>
          <w:bCs/>
          <w:noProof/>
        </w:rPr>
        <mc:AlternateContent>
          <mc:Choice Requires="wps">
            <w:drawing>
              <wp:anchor distT="0" distB="0" distL="114300" distR="114300" simplePos="0" relativeHeight="251665419" behindDoc="0" locked="0" layoutInCell="1" allowOverlap="1" wp14:anchorId="2A016A28" wp14:editId="3402A8FF">
                <wp:simplePos x="0" y="0"/>
                <wp:positionH relativeFrom="page">
                  <wp:posOffset>901065</wp:posOffset>
                </wp:positionH>
                <wp:positionV relativeFrom="paragraph">
                  <wp:posOffset>3895090</wp:posOffset>
                </wp:positionV>
                <wp:extent cx="6400800" cy="469988"/>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400800" cy="469988"/>
                        </a:xfrm>
                        <a:prstGeom prst="rect">
                          <a:avLst/>
                        </a:prstGeom>
                        <a:noFill/>
                        <a:ln w="6350">
                          <a:noFill/>
                        </a:ln>
                      </wps:spPr>
                      <wps:txbx>
                        <w:txbxContent>
                          <w:p w14:paraId="4A8CA454" w14:textId="76B1DE83" w:rsidR="005B2632" w:rsidRPr="005B2632" w:rsidRDefault="005B2632" w:rsidP="005B263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5E6B45">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00CA09FB" w:rsidRPr="00CA09FB">
                              <w:rPr>
                                <w:rFonts w:eastAsia="Times New Roman" w:cs="Calibri"/>
                                <w:sz w:val="14"/>
                                <w:szCs w:val="14"/>
                                <w:shd w:val="clear" w:color="auto" w:fill="FFFFFF"/>
                                <w:lang w:eastAsia="es-ES_tradnl"/>
                              </w:rPr>
                              <w:t>Compass, datos al 30 de Junio 2025, FM Compass Equilibrio serie C</w:t>
                            </w:r>
                          </w:p>
                          <w:p w14:paraId="0203CB2D" w14:textId="56242F05" w:rsidR="00951297" w:rsidRPr="005B2632" w:rsidRDefault="005B2632" w:rsidP="005B2632">
                            <w:pPr>
                              <w:spacing w:line="276" w:lineRule="auto"/>
                              <w:ind w:right="-518"/>
                              <w:rPr>
                                <w:rFonts w:eastAsia="Times New Roman" w:cs="Calibri"/>
                                <w:sz w:val="14"/>
                                <w:szCs w:val="14"/>
                                <w:shd w:val="clear" w:color="auto" w:fill="FFFFFF"/>
                                <w:lang w:eastAsia="es-ES_tradnl"/>
                              </w:rPr>
                            </w:pPr>
                            <w:r w:rsidRPr="005B2632">
                              <w:rPr>
                                <w:rFonts w:eastAsia="Times New Roman" w:cs="Calibri"/>
                                <w:sz w:val="14"/>
                                <w:szCs w:val="14"/>
                                <w:shd w:val="clear" w:color="auto" w:fill="FFFFFF"/>
                                <w:vertAlign w:val="superscript"/>
                                <w:lang w:eastAsia="es-ES_tradnl"/>
                              </w:rPr>
                              <w:t xml:space="preserve">(*)     </w:t>
                            </w:r>
                            <w:r w:rsidR="00CA09FB" w:rsidRPr="00CA09FB">
                              <w:rPr>
                                <w:rFonts w:eastAsia="Times New Roman" w:cs="Calibri"/>
                                <w:sz w:val="14"/>
                                <w:szCs w:val="14"/>
                                <w:shd w:val="clear" w:color="auto" w:fill="FFFFFF"/>
                                <w:lang w:eastAsia="es-ES_tradnl"/>
                              </w:rPr>
                              <w:t>Rentabilidades en USD para la sección Performance &amp; Outlook y en CLP para el FM Equilibrio.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16A28" id="_x0000_t202" coordsize="21600,21600" o:spt="202" path="m,l,21600r21600,l21600,xe">
                <v:stroke joinstyle="miter"/>
                <v:path gradientshapeok="t" o:connecttype="rect"/>
              </v:shapetype>
              <v:shape id="Cuadro de texto 17" o:spid="_x0000_s1026" type="#_x0000_t202" style="position:absolute;margin-left:70.95pt;margin-top:306.7pt;width:7in;height:37pt;z-index:2516654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GRXFgIAACwEAAAOAAAAZHJzL2Uyb0RvYy54bWysU02P2jAQvVfqf7B8Lwk0SyEirOiuqCqh&#13;&#10;3ZXYas/GsUkkx+PahoT++o6d8KFtT1UvzoxnMh/vPS/uu0aRo7CuBl3Q8SilRGgOZa33Bf3xuv40&#13;&#10;o8R5pkumQIuCnoSj98uPHxatycUEKlClsASLaJe3pqCV9yZPEscr0TA3AiM0BiXYhnl07T4pLWux&#13;&#10;eqOSSZpOkxZsaSxw4RzePvZBuoz1pRTcP0vphCeqoDibj6eN5y6cyXLB8r1lpqr5MAb7hykaVmts&#13;&#10;ein1yDwjB1v/UaqpuQUH0o84NAlIWXMRd8Btxum7bbYVMyLuguA4c4HJ/b+y/Om4NS+W+O4rdEhg&#13;&#10;AKQ1Lnd4GfbppG3CFyclGEcITxfYROcJx8tplqazFEMcY9l0Pp/NQpnk+rexzn8T0JBgFNQiLREt&#13;&#10;dtw436eeU0IzDetaqUiN0qTFDp/v0vjDJYLFlcYe11mD5btdNyywg/KEe1noKXeGr2tsvmHOvzCL&#13;&#10;HOO8qFv/jIdUgE1gsCipwP76233IR+gxSkmLmimo+3lgVlCivmskZT7OsiCy6GR3Xybo2NvI7jai&#13;&#10;D80DoCzH+EIMj2bI9+psSgvNG8p7FbpiiGmOvQvqz+aD75WMz4OL1SomoawM8xu9NTyUDnAGaF+7&#13;&#10;N2bNgL9H5p7grC6Wv6Ohz+2JWB08yDpyFADuUR1wR0lGlofnEzR/68es6yNf/gYAAP//AwBQSwME&#13;&#10;FAAGAAgAAAAhANEpda7mAAAAEQEAAA8AAABkcnMvZG93bnJldi54bWxMT01PwkAQvZv4HzZj4k22&#13;&#10;xYqldEtIDTExegC5eJt2l7ZxP2p3gcKvdzjpZZL35s2b9/LlaDQ7qsF3zgqIJxEwZWsnO9sI2H2u&#13;&#10;H1JgPqCVqJ1VAs7Kw7K4vckxk+5kN+q4DQ0jE+szFNCG0Gec+7pVBv3E9crSbu8Gg4Hg0HA54InM&#13;&#10;jebTKJpxg52lDy32qmxV/b09GAFv5foDN9XUpBddvr7vV/3P7utJiPu78WVBY7UAFtQY/i7g2oHy&#13;&#10;Q0HBKnew0jNNOInnJBUwix8TYFdFnMyJqohKnxPgRc7/Nyl+AQAA//8DAFBLAQItABQABgAIAAAA&#13;&#10;IQC2gziS/gAAAOEBAAATAAAAAAAAAAAAAAAAAAAAAABbQ29udGVudF9UeXBlc10ueG1sUEsBAi0A&#13;&#10;FAAGAAgAAAAhADj9If/WAAAAlAEAAAsAAAAAAAAAAAAAAAAALwEAAF9yZWxzLy5yZWxzUEsBAi0A&#13;&#10;FAAGAAgAAAAhAC8sZFcWAgAALAQAAA4AAAAAAAAAAAAAAAAALgIAAGRycy9lMm9Eb2MueG1sUEsB&#13;&#10;Ai0AFAAGAAgAAAAhANEpda7mAAAAEQEAAA8AAAAAAAAAAAAAAAAAcAQAAGRycy9kb3ducmV2Lnht&#13;&#10;bFBLBQYAAAAABAAEAPMAAACDBQAAAAA=&#13;&#10;" filled="f" stroked="f" strokeweight=".5pt">
                <v:textbox>
                  <w:txbxContent>
                    <w:p w14:paraId="4A8CA454" w14:textId="76B1DE83" w:rsidR="005B2632" w:rsidRPr="005B2632" w:rsidRDefault="005B2632" w:rsidP="005B263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5E6B45">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00CA09FB" w:rsidRPr="00CA09FB">
                        <w:rPr>
                          <w:rFonts w:eastAsia="Times New Roman" w:cs="Calibri"/>
                          <w:sz w:val="14"/>
                          <w:szCs w:val="14"/>
                          <w:shd w:val="clear" w:color="auto" w:fill="FFFFFF"/>
                          <w:lang w:eastAsia="es-ES_tradnl"/>
                        </w:rPr>
                        <w:t>Compass, datos al 30 de Junio 2025, FM Compass Equilibrio serie C</w:t>
                      </w:r>
                    </w:p>
                    <w:p w14:paraId="0203CB2D" w14:textId="56242F05" w:rsidR="00951297" w:rsidRPr="005B2632" w:rsidRDefault="005B2632" w:rsidP="005B2632">
                      <w:pPr>
                        <w:spacing w:line="276" w:lineRule="auto"/>
                        <w:ind w:right="-518"/>
                        <w:rPr>
                          <w:rFonts w:eastAsia="Times New Roman" w:cs="Calibri"/>
                          <w:sz w:val="14"/>
                          <w:szCs w:val="14"/>
                          <w:shd w:val="clear" w:color="auto" w:fill="FFFFFF"/>
                          <w:lang w:eastAsia="es-ES_tradnl"/>
                        </w:rPr>
                      </w:pPr>
                      <w:r w:rsidRPr="005B2632">
                        <w:rPr>
                          <w:rFonts w:eastAsia="Times New Roman" w:cs="Calibri"/>
                          <w:sz w:val="14"/>
                          <w:szCs w:val="14"/>
                          <w:shd w:val="clear" w:color="auto" w:fill="FFFFFF"/>
                          <w:vertAlign w:val="superscript"/>
                          <w:lang w:eastAsia="es-ES_tradnl"/>
                        </w:rPr>
                        <w:t xml:space="preserve">(*)     </w:t>
                      </w:r>
                      <w:r w:rsidR="00CA09FB" w:rsidRPr="00CA09FB">
                        <w:rPr>
                          <w:rFonts w:eastAsia="Times New Roman" w:cs="Calibri"/>
                          <w:sz w:val="14"/>
                          <w:szCs w:val="14"/>
                          <w:shd w:val="clear" w:color="auto" w:fill="FFFFFF"/>
                          <w:lang w:eastAsia="es-ES_tradnl"/>
                        </w:rPr>
                        <w:t>Rentabilidades en USD para la sección Performance &amp; Outlook y en CLP para el FM Equilibrio.</w:t>
                      </w:r>
                    </w:p>
                  </w:txbxContent>
                </v:textbox>
                <w10:wrap anchorx="page"/>
              </v:shape>
            </w:pict>
          </mc:Fallback>
        </mc:AlternateContent>
      </w:r>
    </w:p>
    <w:p w14:paraId="7AAADC26" w14:textId="27D22D8F" w:rsidR="00C75C94" w:rsidRPr="00AC4538" w:rsidRDefault="00F44FF7" w:rsidP="00022EBC">
      <w:pPr>
        <w:spacing w:before="240" w:after="240" w:line="276" w:lineRule="auto"/>
        <w:rPr>
          <w:rFonts w:cs="Calibri"/>
          <w:color w:val="002FA7" w:themeColor="background2"/>
          <w:sz w:val="2"/>
          <w:szCs w:val="2"/>
        </w:rPr>
      </w:pPr>
      <w:r>
        <w:rPr>
          <w:rFonts w:ascii="Calibri" w:eastAsia="Times New Roman" w:hAnsi="Calibri" w:cs="Calibri"/>
          <w:noProof/>
          <w:sz w:val="18"/>
          <w:szCs w:val="18"/>
          <w:lang w:eastAsia="es-ES"/>
        </w:rPr>
        <w:drawing>
          <wp:anchor distT="0" distB="0" distL="114300" distR="114300" simplePos="0" relativeHeight="251662346" behindDoc="1" locked="0" layoutInCell="1" allowOverlap="1" wp14:anchorId="36D44A6D" wp14:editId="45B248C7">
            <wp:simplePos x="0" y="0"/>
            <wp:positionH relativeFrom="column">
              <wp:posOffset>-3175</wp:posOffset>
            </wp:positionH>
            <wp:positionV relativeFrom="paragraph">
              <wp:posOffset>128481</wp:posOffset>
            </wp:positionV>
            <wp:extent cx="914400" cy="914400"/>
            <wp:effectExtent l="0" t="0" r="0" b="0"/>
            <wp:wrapTight wrapText="bothSides">
              <wp:wrapPolygon edited="0">
                <wp:start x="0" y="0"/>
                <wp:lineTo x="0" y="21300"/>
                <wp:lineTo x="21300" y="21300"/>
                <wp:lineTo x="21300" y="0"/>
                <wp:lineTo x="0" y="0"/>
              </wp:wrapPolygon>
            </wp:wrapTight>
            <wp:docPr id="18544177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36" r="5961" b="10596"/>
                    <a:stretch>
                      <a:fillRect/>
                    </a:stretch>
                  </pic:blipFill>
                  <pic:spPr bwMode="auto">
                    <a:xfrm>
                      <a:off x="0" y="0"/>
                      <a:ext cx="914400" cy="914400"/>
                    </a:xfrm>
                    <a:prstGeom prst="rect">
                      <a:avLst/>
                    </a:prstGeom>
                    <a:noFill/>
                    <a:ln>
                      <a:noFill/>
                    </a:ln>
                  </pic:spPr>
                </pic:pic>
              </a:graphicData>
            </a:graphic>
          </wp:anchor>
        </w:drawing>
      </w:r>
    </w:p>
    <w:p w14:paraId="4602B8BC" w14:textId="77777777" w:rsidR="00F44FF7" w:rsidRDefault="00F44FF7" w:rsidP="00F44FF7">
      <w:pPr>
        <w:ind w:left="1701"/>
        <w:rPr>
          <w:rFonts w:ascii="Aptos" w:hAnsi="Aptos" w:cs="Calibri"/>
          <w:b/>
          <w:bCs/>
          <w:color w:val="002FA7" w:themeColor="background2"/>
          <w:sz w:val="24"/>
          <w:lang w:val="es-ES"/>
        </w:rPr>
      </w:pPr>
      <w:r w:rsidRPr="00F44FF7">
        <w:rPr>
          <w:rFonts w:ascii="Aptos" w:hAnsi="Aptos" w:cs="Calibri"/>
          <w:b/>
          <w:bCs/>
          <w:color w:val="002FA7" w:themeColor="background2"/>
          <w:sz w:val="24"/>
          <w:lang w:val="es-ES"/>
        </w:rPr>
        <w:t>Andrés Alcalde</w:t>
      </w:r>
    </w:p>
    <w:p w14:paraId="4D1FDF64" w14:textId="49C92E51" w:rsidR="00F44FF7" w:rsidRPr="00F44FF7" w:rsidRDefault="00F44FF7" w:rsidP="00F44FF7">
      <w:pPr>
        <w:ind w:left="1701"/>
        <w:rPr>
          <w:rFonts w:ascii="Aptos" w:hAnsi="Aptos" w:cs="Calibri"/>
          <w:b/>
          <w:bCs/>
          <w:color w:val="002FA7" w:themeColor="background2"/>
          <w:sz w:val="24"/>
          <w:lang w:val="es-ES"/>
        </w:rPr>
      </w:pPr>
      <w:r w:rsidRPr="00F44FF7">
        <w:rPr>
          <w:color w:val="404040"/>
          <w:lang w:val="en-US"/>
        </w:rPr>
        <w:t xml:space="preserve">Portfolio Manager de Investment Solutions </w:t>
      </w:r>
    </w:p>
    <w:p w14:paraId="67D266DD" w14:textId="5CA734B4"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firma 20</w:t>
      </w:r>
      <w:r w:rsidR="00F44FF7">
        <w:rPr>
          <w:rFonts w:eastAsia="Times New Roman" w:cs="Calibri"/>
          <w:color w:val="404040"/>
          <w:szCs w:val="22"/>
          <w:shd w:val="clear" w:color="auto" w:fill="FFFFFF"/>
          <w:lang w:eastAsia="es-ES_tradnl"/>
        </w:rPr>
        <w:t>16</w:t>
      </w:r>
    </w:p>
    <w:p w14:paraId="0DC112CA" w14:textId="5FFB138D"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industria 20</w:t>
      </w:r>
      <w:r w:rsidR="00E6159D">
        <w:rPr>
          <w:rFonts w:eastAsia="Times New Roman" w:cs="Calibri"/>
          <w:color w:val="404040"/>
          <w:szCs w:val="22"/>
          <w:shd w:val="clear" w:color="auto" w:fill="FFFFFF"/>
          <w:lang w:eastAsia="es-ES_tradnl"/>
        </w:rPr>
        <w:t>1</w:t>
      </w:r>
      <w:r w:rsidR="00F44FF7">
        <w:rPr>
          <w:rFonts w:eastAsia="Times New Roman" w:cs="Calibri"/>
          <w:color w:val="404040"/>
          <w:szCs w:val="22"/>
          <w:shd w:val="clear" w:color="auto" w:fill="FFFFFF"/>
          <w:lang w:eastAsia="es-ES_tradnl"/>
        </w:rPr>
        <w:t>3</w:t>
      </w:r>
    </w:p>
    <w:p w14:paraId="63C1E07A" w14:textId="77777777" w:rsidR="00F44FF7" w:rsidRPr="00F44FF7" w:rsidRDefault="00F44FF7" w:rsidP="00F44FF7">
      <w:pPr>
        <w:spacing w:before="240" w:after="240" w:line="276" w:lineRule="auto"/>
        <w:rPr>
          <w:rFonts w:eastAsia="Times New Roman" w:cs="Calibri"/>
          <w:szCs w:val="22"/>
          <w:shd w:val="clear" w:color="auto" w:fill="FFFFFF"/>
          <w:lang w:eastAsia="es-ES_tradnl"/>
        </w:rPr>
      </w:pPr>
      <w:r w:rsidRPr="00F44FF7">
        <w:rPr>
          <w:rFonts w:eastAsia="Times New Roman" w:cs="Calibri"/>
          <w:szCs w:val="22"/>
          <w:shd w:val="clear" w:color="auto" w:fill="FFFFFF"/>
          <w:lang w:eastAsia="es-ES_tradnl"/>
        </w:rPr>
        <w:t>Andrés es Portfolio Manager de Investment Solutions. Anteriormente, se desempeñó como Asesor de Inversiones y Sub-Gerente de Private Wealth Management en la oficina de Chile. Previo a su incorporación a la firma trabajó como Analista de Inversiones y Asesor de Inversiones en EuroAmerica Investments.</w:t>
      </w:r>
    </w:p>
    <w:p w14:paraId="2BE17B3B" w14:textId="77777777" w:rsidR="00F44FF7" w:rsidRPr="00F44FF7" w:rsidRDefault="00F44FF7" w:rsidP="00F44FF7">
      <w:pPr>
        <w:spacing w:before="240" w:after="240" w:line="276" w:lineRule="auto"/>
        <w:rPr>
          <w:rFonts w:eastAsia="Times New Roman" w:cs="Calibri"/>
          <w:szCs w:val="22"/>
          <w:shd w:val="clear" w:color="auto" w:fill="FFFFFF"/>
          <w:lang w:eastAsia="es-ES_tradnl"/>
        </w:rPr>
      </w:pPr>
      <w:r w:rsidRPr="00F44FF7">
        <w:rPr>
          <w:rFonts w:eastAsia="Times New Roman" w:cs="Calibri"/>
          <w:szCs w:val="22"/>
          <w:shd w:val="clear" w:color="auto" w:fill="FFFFFF"/>
          <w:lang w:eastAsia="es-ES_tradnl"/>
        </w:rPr>
        <w:t>Andrés es Ingeniero Comercial con mención en Administración de Empresas de la Pontificia Universidad Católica de Chile, y Magíster en Dirección Financiera de la Universidad Adolfo Ibáñez.</w:t>
      </w:r>
    </w:p>
    <w:p w14:paraId="41E53BE8"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9FC0E60" w14:textId="0F234BF7" w:rsidR="004F4524" w:rsidRPr="006E201B" w:rsidRDefault="004F4524" w:rsidP="004F4524">
      <w:pPr>
        <w:spacing w:before="240" w:after="240" w:line="276" w:lineRule="auto"/>
        <w:ind w:left="360" w:hanging="360"/>
        <w:rPr>
          <w:rFonts w:ascii="Aptos" w:hAnsi="Aptos"/>
          <w:b/>
          <w:bCs/>
          <w:color w:val="B5283D"/>
          <w:sz w:val="28"/>
          <w:szCs w:val="28"/>
        </w:rPr>
      </w:pPr>
      <w:r w:rsidRPr="006E201B">
        <w:rPr>
          <w:rFonts w:ascii="Aptos" w:hAnsi="Aptos"/>
          <w:b/>
          <w:bCs/>
          <w:color w:val="002FA7" w:themeColor="background2"/>
          <w:sz w:val="28"/>
          <w:szCs w:val="28"/>
        </w:rPr>
        <w:t>Importante</w:t>
      </w:r>
    </w:p>
    <w:p w14:paraId="1F673AF5" w14:textId="77777777" w:rsidR="00CA09FB" w:rsidRPr="00CA09FB" w:rsidRDefault="00CA09FB" w:rsidP="00CA09FB">
      <w:pPr>
        <w:numPr>
          <w:ilvl w:val="0"/>
          <w:numId w:val="7"/>
        </w:numPr>
        <w:spacing w:line="276" w:lineRule="auto"/>
        <w:rPr>
          <w:szCs w:val="22"/>
        </w:rPr>
      </w:pPr>
      <w:r w:rsidRPr="00CA09FB">
        <w:rPr>
          <w:szCs w:val="22"/>
        </w:rPr>
        <w:t>La rentabilidad o ganancia obtenida en el pasado por los fondos, no garantiza que ellas se repitan en el futuro. L</w:t>
      </w:r>
      <w:r w:rsidRPr="00CA09FB">
        <w:rPr>
          <w:szCs w:val="22"/>
          <w:lang w:val="es-ES"/>
        </w:rPr>
        <w:t>os valores de las cuotas de los fondos son variables. Infórmese de las características esenciales de la inversión en fondos, las que se encuentran contenidas en su respectivo reglamento interno. El riesgo y retorno de los instrumentos componentes de la cartera de los fondos presentados, no necesariamente corresponde al riesgo y retorno de los instrumentos representados por los índices de referencia.</w:t>
      </w:r>
    </w:p>
    <w:p w14:paraId="564D7A3B" w14:textId="77777777" w:rsidR="00CA09FB" w:rsidRPr="00CA09FB" w:rsidRDefault="00CA09FB" w:rsidP="00CA09FB">
      <w:pPr>
        <w:numPr>
          <w:ilvl w:val="0"/>
          <w:numId w:val="7"/>
        </w:numPr>
        <w:spacing w:line="276" w:lineRule="auto"/>
        <w:rPr>
          <w:szCs w:val="22"/>
        </w:rPr>
      </w:pPr>
      <w:r w:rsidRPr="00CA09FB">
        <w:rPr>
          <w:szCs w:val="22"/>
          <w:lang w:val="es-ES"/>
        </w:rPr>
        <w:t>La información contenida en este documento no corresponde a objetivos de inversión específicos, situación financiera o necesidades particulares de ningún receptor del mismo.</w:t>
      </w:r>
    </w:p>
    <w:p w14:paraId="7557103B" w14:textId="77777777" w:rsidR="00CA09FB" w:rsidRPr="00CA09FB" w:rsidRDefault="00CA09FB" w:rsidP="00CA09FB">
      <w:pPr>
        <w:numPr>
          <w:ilvl w:val="0"/>
          <w:numId w:val="7"/>
        </w:numPr>
        <w:spacing w:line="276" w:lineRule="auto"/>
        <w:rPr>
          <w:szCs w:val="22"/>
        </w:rPr>
      </w:pPr>
      <w:r w:rsidRPr="00CA09FB">
        <w:rPr>
          <w:szCs w:val="22"/>
        </w:rPr>
        <w:t xml:space="preserve">Las opiniones contenidas en esta presentación no deben considerarse como una oferta o una solicitud de compra o de venta, de suscripción o rescate, de aporte o retiro de ningún tipo de valores, sino que se publican con un propósito meramente informativo para nuestros clientes. </w:t>
      </w:r>
    </w:p>
    <w:p w14:paraId="2816AFBB" w14:textId="77777777" w:rsidR="00CA09FB" w:rsidRPr="00CA09FB" w:rsidRDefault="00CA09FB" w:rsidP="00CA09FB">
      <w:pPr>
        <w:numPr>
          <w:ilvl w:val="0"/>
          <w:numId w:val="7"/>
        </w:numPr>
        <w:spacing w:line="276" w:lineRule="auto"/>
        <w:rPr>
          <w:szCs w:val="22"/>
        </w:rPr>
      </w:pPr>
      <w:r w:rsidRPr="00CA09FB">
        <w:rPr>
          <w:szCs w:val="22"/>
        </w:rPr>
        <w:t xml:space="preserve">El contenido de este documento está destinado al uso exclusivo del emisor y/o persona o entidad a quien va dirigida. </w:t>
      </w:r>
    </w:p>
    <w:p w14:paraId="09605C00" w14:textId="77777777" w:rsidR="00CA09FB" w:rsidRPr="00CA09FB" w:rsidRDefault="00CA09FB" w:rsidP="00CA09FB">
      <w:pPr>
        <w:numPr>
          <w:ilvl w:val="0"/>
          <w:numId w:val="7"/>
        </w:numPr>
        <w:spacing w:line="276" w:lineRule="auto"/>
        <w:rPr>
          <w:szCs w:val="22"/>
        </w:rPr>
      </w:pPr>
      <w:r w:rsidRPr="00CA09FB">
        <w:rPr>
          <w:szCs w:val="22"/>
        </w:rPr>
        <w:t>Antes de realizar cualquier transacción de valores, los inversionistas deberán informarse sobre las condiciones de la operación, así como de los derechos, riesgos y responsabilidades implícitos en ella, por lo cual Vinci Compass y/o personas relacionadas (“</w:t>
      </w:r>
      <w:r w:rsidRPr="00CA09FB">
        <w:rPr>
          <w:i/>
          <w:iCs/>
          <w:szCs w:val="22"/>
          <w:u w:val="single"/>
        </w:rPr>
        <w:t>Vinci Compass</w:t>
      </w:r>
      <w:r w:rsidRPr="00CA09FB">
        <w:rPr>
          <w:szCs w:val="22"/>
        </w:rPr>
        <w:t xml:space="preserve">”) no asume responsabilidad alguna, ya sea directa o indirecta, derivada del uso de la información y/u </w:t>
      </w:r>
      <w:r w:rsidRPr="00CA09FB" w:rsidDel="00533947">
        <w:rPr>
          <w:szCs w:val="22"/>
        </w:rPr>
        <w:t xml:space="preserve">opiniones </w:t>
      </w:r>
      <w:r w:rsidRPr="00CA09FB">
        <w:rPr>
          <w:szCs w:val="22"/>
        </w:rPr>
        <w:t xml:space="preserve">contenidas en esta presentación. </w:t>
      </w:r>
    </w:p>
    <w:p w14:paraId="50B60EEA" w14:textId="77777777" w:rsidR="00CA09FB" w:rsidRPr="00CA09FB" w:rsidRDefault="00CA09FB" w:rsidP="00CA09FB">
      <w:pPr>
        <w:numPr>
          <w:ilvl w:val="0"/>
          <w:numId w:val="7"/>
        </w:numPr>
        <w:spacing w:line="276" w:lineRule="auto"/>
        <w:rPr>
          <w:szCs w:val="22"/>
        </w:rPr>
      </w:pPr>
      <w:r w:rsidRPr="00CA09FB">
        <w:rPr>
          <w:szCs w:val="22"/>
        </w:rPr>
        <w:t>Las sociedades de Vinci Compass no ofrecen garantías, ni asumen responsabilidades sobre la información o por las decisiones de inversión adoptadas por terceros.</w:t>
      </w:r>
    </w:p>
    <w:p w14:paraId="525F7B1C" w14:textId="738CA20F" w:rsidR="004F4524" w:rsidRPr="00CA09FB" w:rsidRDefault="00CA09FB" w:rsidP="00CA09FB">
      <w:pPr>
        <w:numPr>
          <w:ilvl w:val="0"/>
          <w:numId w:val="7"/>
        </w:numPr>
        <w:spacing w:line="276" w:lineRule="auto"/>
        <w:rPr>
          <w:szCs w:val="22"/>
        </w:rPr>
      </w:pPr>
      <w:r w:rsidRPr="00CA09FB">
        <w:rPr>
          <w:szCs w:val="22"/>
        </w:rPr>
        <w:t xml:space="preserve">Cualquier uso, almacenamiento, divulgación, distribución o copia de la información contenida en este documento, está estrictamente prohibido y sancionado por la ley. </w:t>
      </w:r>
    </w:p>
    <w:sectPr w:rsidR="004F4524" w:rsidRPr="00CA09FB" w:rsidSect="00ED5512">
      <w:headerReference w:type="default" r:id="rId13"/>
      <w:footerReference w:type="even" r:id="rId14"/>
      <w:footerReference w:type="default" r:id="rId15"/>
      <w:type w:val="continuous"/>
      <w:pgSz w:w="12240" w:h="15840"/>
      <w:pgMar w:top="1985" w:right="1418" w:bottom="1418" w:left="1418" w:header="709" w:footer="567" w:gutter="0"/>
      <w:cols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4ECE1" w14:textId="77777777" w:rsidR="0012633A" w:rsidRDefault="0012633A" w:rsidP="004F2CFA">
      <w:r>
        <w:separator/>
      </w:r>
    </w:p>
  </w:endnote>
  <w:endnote w:type="continuationSeparator" w:id="0">
    <w:p w14:paraId="61B9D840" w14:textId="77777777" w:rsidR="0012633A" w:rsidRDefault="0012633A" w:rsidP="004F2CFA">
      <w:r>
        <w:continuationSeparator/>
      </w:r>
    </w:p>
  </w:endnote>
  <w:endnote w:type="continuationNotice" w:id="1">
    <w:p w14:paraId="60C14D9C" w14:textId="77777777" w:rsidR="0012633A" w:rsidRDefault="00126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Cuerpo)">
    <w:altName w:val="Calibri"/>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Cuerpo en alfabeto compl">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68843745"/>
      <w:docPartObj>
        <w:docPartGallery w:val="Page Numbers (Bottom of Page)"/>
        <w:docPartUnique/>
      </w:docPartObj>
    </w:sdtPr>
    <w:sdtContent>
      <w:p w14:paraId="01A3E72C" w14:textId="77777777" w:rsidR="00D336F2" w:rsidRDefault="00D336F2" w:rsidP="004318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82A67" w14:textId="77777777" w:rsidR="00D336F2" w:rsidRDefault="00D336F2" w:rsidP="00D336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HAnsi"/>
        <w:sz w:val="16"/>
        <w:szCs w:val="16"/>
        <w:lang w:val="es-ES"/>
      </w:rPr>
      <w:id w:val="1950733772"/>
      <w:docPartObj>
        <w:docPartGallery w:val="Page Numbers (Bottom of Page)"/>
        <w:docPartUnique/>
      </w:docPartObj>
    </w:sdtPr>
    <w:sdtEndPr>
      <w:rPr>
        <w:rFonts w:cs="Arial (Cuerpo en alfabeto compl"/>
        <w:color w:val="002FA7" w:themeColor="background2"/>
      </w:rPr>
    </w:sdtEndPr>
    <w:sdtContent>
      <w:p w14:paraId="423F4772" w14:textId="42E8E803" w:rsidR="00A41394" w:rsidRPr="009059D8" w:rsidRDefault="00E21184" w:rsidP="005A6B87">
        <w:pPr>
          <w:tabs>
            <w:tab w:val="right" w:pos="9404"/>
          </w:tabs>
          <w:rPr>
            <w:rFonts w:eastAsiaTheme="minorEastAsia"/>
            <w:color w:val="002FA7" w:themeColor="background2"/>
            <w:sz w:val="16"/>
            <w:szCs w:val="16"/>
            <w:lang w:val="es-ES"/>
          </w:rPr>
        </w:pPr>
        <w:r>
          <w:rPr>
            <w:color w:val="7F7F7F" w:themeColor="text1" w:themeTint="80"/>
            <w:sz w:val="16"/>
            <w:szCs w:val="16"/>
            <w:lang w:val="es-ES"/>
          </w:rPr>
          <w:t>Fondo Mutuo Compass Equilibrio</w:t>
        </w:r>
        <w:r w:rsidR="00AC4538">
          <w:rPr>
            <w:color w:val="7F7F7F" w:themeColor="text1" w:themeTint="80"/>
            <w:sz w:val="16"/>
            <w:szCs w:val="16"/>
            <w:lang w:val="es-ES"/>
          </w:rPr>
          <w:t xml:space="preserve"> </w:t>
        </w:r>
        <w:r w:rsidR="005A6B87" w:rsidRPr="009059D8">
          <w:rPr>
            <w:color w:val="7F7F7F" w:themeColor="text1" w:themeTint="80"/>
            <w:sz w:val="16"/>
            <w:szCs w:val="16"/>
            <w:lang w:val="es-ES"/>
          </w:rPr>
          <w:t xml:space="preserve">  </w:t>
        </w:r>
        <w:r w:rsidR="005A6B87" w:rsidRPr="009059D8">
          <w:rPr>
            <w:color w:val="002FA7" w:themeColor="background2"/>
            <w:sz w:val="16"/>
            <w:szCs w:val="16"/>
            <w:lang w:val="es-ES"/>
          </w:rPr>
          <w:t xml:space="preserve"> I    </w:t>
        </w:r>
        <w:r w:rsidR="005A6B87" w:rsidRPr="009059D8">
          <w:rPr>
            <w:color w:val="7F7F7F" w:themeColor="text1" w:themeTint="80"/>
            <w:sz w:val="16"/>
            <w:szCs w:val="16"/>
            <w:lang w:val="es-ES"/>
          </w:rPr>
          <w:t>Vinci Compass</w:t>
        </w:r>
        <w:r w:rsidR="005A6B87" w:rsidRPr="009059D8">
          <w:rPr>
            <w:rFonts w:cstheme="minorHAnsi"/>
            <w:color w:val="7F7F7F" w:themeColor="text1" w:themeTint="80"/>
            <w:sz w:val="16"/>
            <w:szCs w:val="16"/>
          </w:rPr>
          <w:tab/>
        </w:r>
        <w:r w:rsidR="005A6B87" w:rsidRPr="009059D8">
          <w:rPr>
            <w:rFonts w:eastAsia="MS Mincho" w:cs="Calibri"/>
            <w:color w:val="002FA7"/>
            <w:sz w:val="16"/>
            <w:szCs w:val="16"/>
            <w:lang w:val="es-ES"/>
          </w:rPr>
          <w:fldChar w:fldCharType="begin"/>
        </w:r>
        <w:r w:rsidR="005A6B87" w:rsidRPr="009059D8">
          <w:rPr>
            <w:rFonts w:eastAsia="MS Mincho" w:cs="Calibri"/>
            <w:color w:val="002FA7"/>
            <w:sz w:val="16"/>
            <w:szCs w:val="16"/>
            <w:lang w:val="es-ES"/>
          </w:rPr>
          <w:instrText xml:space="preserve"> PAGE   \* MERGEFORMAT </w:instrText>
        </w:r>
        <w:r w:rsidR="005A6B87" w:rsidRPr="009059D8">
          <w:rPr>
            <w:rFonts w:eastAsia="MS Mincho" w:cs="Calibri"/>
            <w:color w:val="002FA7"/>
            <w:sz w:val="16"/>
            <w:szCs w:val="16"/>
            <w:lang w:val="es-ES"/>
          </w:rPr>
          <w:fldChar w:fldCharType="separate"/>
        </w:r>
        <w:r w:rsidR="005A6B87" w:rsidRPr="009059D8">
          <w:rPr>
            <w:rFonts w:eastAsia="MS Mincho" w:cs="Calibri"/>
            <w:color w:val="002FA7"/>
            <w:sz w:val="16"/>
            <w:szCs w:val="16"/>
            <w:lang w:val="es-ES"/>
          </w:rPr>
          <w:t>2</w:t>
        </w:r>
        <w:r w:rsidR="005A6B87" w:rsidRPr="009059D8">
          <w:rPr>
            <w:rFonts w:eastAsia="MS Mincho" w:cs="Calibri"/>
            <w:color w:val="002FA7"/>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949C" w14:textId="77777777" w:rsidR="0012633A" w:rsidRDefault="0012633A" w:rsidP="004F2CFA">
      <w:r>
        <w:separator/>
      </w:r>
    </w:p>
  </w:footnote>
  <w:footnote w:type="continuationSeparator" w:id="0">
    <w:p w14:paraId="705E804D" w14:textId="77777777" w:rsidR="0012633A" w:rsidRDefault="0012633A" w:rsidP="004F2CFA">
      <w:r>
        <w:continuationSeparator/>
      </w:r>
    </w:p>
  </w:footnote>
  <w:footnote w:type="continuationNotice" w:id="1">
    <w:p w14:paraId="11E50372" w14:textId="77777777" w:rsidR="0012633A" w:rsidRDefault="00126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BE4" w14:textId="1BBCEF36" w:rsidR="004F2CFA" w:rsidRDefault="00FB4010">
    <w:pPr>
      <w:pStyle w:val="Encabezado"/>
    </w:pPr>
    <w:r>
      <w:rPr>
        <w:noProof/>
      </w:rPr>
      <mc:AlternateContent>
        <mc:Choice Requires="wps">
          <w:drawing>
            <wp:anchor distT="0" distB="0" distL="114300" distR="114300" simplePos="0" relativeHeight="251658241" behindDoc="0" locked="0" layoutInCell="1" allowOverlap="1" wp14:anchorId="59C20C6E" wp14:editId="556E05D6">
              <wp:simplePos x="0" y="0"/>
              <wp:positionH relativeFrom="column">
                <wp:posOffset>-98626</wp:posOffset>
              </wp:positionH>
              <wp:positionV relativeFrom="paragraph">
                <wp:posOffset>-247015</wp:posOffset>
              </wp:positionV>
              <wp:extent cx="4234180" cy="60373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34180" cy="603738"/>
                      </a:xfrm>
                      <a:prstGeom prst="rect">
                        <a:avLst/>
                      </a:prstGeom>
                      <a:noFill/>
                      <a:ln w="6350">
                        <a:noFill/>
                      </a:ln>
                    </wps:spPr>
                    <wps:txbx>
                      <w:txbxContent>
                        <w:p w14:paraId="775983EA" w14:textId="77777777" w:rsidR="00E21184" w:rsidRPr="00E21184" w:rsidRDefault="00E21184" w:rsidP="00E21184">
                          <w:pPr>
                            <w:rPr>
                              <w:rFonts w:ascii="Aptos" w:hAnsi="Aptos"/>
                              <w:b/>
                              <w:bCs/>
                              <w:color w:val="FFFFFF" w:themeColor="background1"/>
                              <w:sz w:val="28"/>
                              <w:szCs w:val="28"/>
                            </w:rPr>
                          </w:pPr>
                          <w:r w:rsidRPr="00E21184">
                            <w:rPr>
                              <w:rFonts w:ascii="Aptos" w:hAnsi="Aptos"/>
                              <w:b/>
                              <w:bCs/>
                              <w:color w:val="FFFFFF" w:themeColor="background1"/>
                              <w:sz w:val="28"/>
                              <w:szCs w:val="28"/>
                            </w:rPr>
                            <w:t>Fondo Mutuo Compass Equilibrio</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20C6E" id="_x0000_t202" coordsize="21600,21600" o:spt="202" path="m,l,21600r21600,l21600,xe">
              <v:stroke joinstyle="miter"/>
              <v:path gradientshapeok="t" o:connecttype="rect"/>
            </v:shapetype>
            <v:shape id="Cuadro de texto 3" o:spid="_x0000_s1027" type="#_x0000_t202" style="position:absolute;left:0;text-align:left;margin-left:-7.75pt;margin-top:-19.45pt;width:333.4pt;height:4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Lq5FwIAACwEAAAOAAAAZHJzL2Uyb0RvYy54bWysU01v2zAMvQ/YfxB0X2wna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7Hk2k2wxDH2G06uZvMAkxy+dtY578JaEgwCmpRlsgW&#13;&#10;O6yd71NPKaGYhlWtVJRGadIi6OQmjT+cIwiuNNa49Bos3227YYAtlEecy0IvuTN8VWPxNXP+lVnU&#13;&#10;GPvFvfUveEgFWAQGi5IK7K+/3Yd8pB6jlLS4MwV1P/fMCkrUd42i3GfTaViy6Exv7sbo2OvI9jqi&#13;&#10;980j4Fpm+EIMj2bI9+pkSgvNO673MlTFENMcaxfUn8xH328yPg8ulsuYhGtlmF/rjeEBOtAZqH3r&#13;&#10;3pk1A/8elXuG03ax/IMMfW4vxHLvQdZRo0Bwz+rAO65kVHl4PmHnr/2YdXnki98AAAD//wMAUEsD&#13;&#10;BBQABgAIAAAAIQCQn7Um5QAAAA8BAAAPAAAAZHJzL2Rvd25yZXYueG1sTE89T8MwEN2R+A/WIbG1&#13;&#10;TlI5CmmcqgqqkBAMLV3YnNhNIuJziN028Os5JlhOd3rv3kexme3ALmbyvUMJ8TICZrBxusdWwvFt&#13;&#10;t8iA+aBQq8GhkfBlPGzK25tC5dpdcW8uh9AyEkGfKwldCGPOuW86Y5VfutEgYSc3WRXonFquJ3Ul&#13;&#10;cTvwJIpSblWP5NCp0VSdaT4OZyvhudq9qn2d2Ox7qJ5eTtvx8/gupLy/mx/XNLZrYMHM4e8DfjtQ&#13;&#10;figpWO3OqD0bJCxiIYhKyyp7AEaMVMQrYLUEkSbAy4L/71H+AAAA//8DAFBLAQItABQABgAIAAAA&#13;&#10;IQC2gziS/gAAAOEBAAATAAAAAAAAAAAAAAAAAAAAAABbQ29udGVudF9UeXBlc10ueG1sUEsBAi0A&#13;&#10;FAAGAAgAAAAhADj9If/WAAAAlAEAAAsAAAAAAAAAAAAAAAAALwEAAF9yZWxzLy5yZWxzUEsBAi0A&#13;&#10;FAAGAAgAAAAhAFEQurkXAgAALAQAAA4AAAAAAAAAAAAAAAAALgIAAGRycy9lMm9Eb2MueG1sUEsB&#13;&#10;Ai0AFAAGAAgAAAAhAJCftSblAAAADwEAAA8AAAAAAAAAAAAAAAAAcQQAAGRycy9kb3ducmV2Lnht&#13;&#10;bFBLBQYAAAAABAAEAPMAAACDBQAAAAA=&#13;&#10;" filled="f" stroked="f" strokeweight=".5pt">
              <v:textbox>
                <w:txbxContent>
                  <w:p w14:paraId="775983EA" w14:textId="77777777" w:rsidR="00E21184" w:rsidRPr="00E21184" w:rsidRDefault="00E21184" w:rsidP="00E21184">
                    <w:pPr>
                      <w:rPr>
                        <w:rFonts w:ascii="Aptos" w:hAnsi="Aptos"/>
                        <w:b/>
                        <w:bCs/>
                        <w:color w:val="FFFFFF" w:themeColor="background1"/>
                        <w:sz w:val="28"/>
                        <w:szCs w:val="28"/>
                      </w:rPr>
                    </w:pPr>
                    <w:r w:rsidRPr="00E21184">
                      <w:rPr>
                        <w:rFonts w:ascii="Aptos" w:hAnsi="Aptos"/>
                        <w:b/>
                        <w:bCs/>
                        <w:color w:val="FFFFFF" w:themeColor="background1"/>
                        <w:sz w:val="28"/>
                        <w:szCs w:val="28"/>
                      </w:rPr>
                      <w:t xml:space="preserve">Fondo Mutuo </w:t>
                    </w:r>
                    <w:proofErr w:type="spellStart"/>
                    <w:r w:rsidRPr="00E21184">
                      <w:rPr>
                        <w:rFonts w:ascii="Aptos" w:hAnsi="Aptos"/>
                        <w:b/>
                        <w:bCs/>
                        <w:color w:val="FFFFFF" w:themeColor="background1"/>
                        <w:sz w:val="28"/>
                        <w:szCs w:val="28"/>
                      </w:rPr>
                      <w:t>Compass</w:t>
                    </w:r>
                    <w:proofErr w:type="spellEnd"/>
                    <w:r w:rsidRPr="00E21184">
                      <w:rPr>
                        <w:rFonts w:ascii="Aptos" w:hAnsi="Aptos"/>
                        <w:b/>
                        <w:bCs/>
                        <w:color w:val="FFFFFF" w:themeColor="background1"/>
                        <w:sz w:val="28"/>
                        <w:szCs w:val="28"/>
                      </w:rPr>
                      <w:t xml:space="preserve"> Equilibrio</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v:textbox>
            </v:shape>
          </w:pict>
        </mc:Fallback>
      </mc:AlternateContent>
    </w:r>
    <w:r w:rsidR="005E2D7D">
      <w:rPr>
        <w:noProof/>
      </w:rPr>
      <w:drawing>
        <wp:anchor distT="0" distB="0" distL="114300" distR="114300" simplePos="0" relativeHeight="251657216" behindDoc="0" locked="0" layoutInCell="1" allowOverlap="1" wp14:anchorId="0613BD34" wp14:editId="26543489">
          <wp:simplePos x="0" y="0"/>
          <wp:positionH relativeFrom="column">
            <wp:posOffset>-893445</wp:posOffset>
          </wp:positionH>
          <wp:positionV relativeFrom="margin">
            <wp:posOffset>-1256030</wp:posOffset>
          </wp:positionV>
          <wp:extent cx="7765603" cy="900000"/>
          <wp:effectExtent l="0" t="0" r="0" b="1905"/>
          <wp:wrapThrough wrapText="bothSides">
            <wp:wrapPolygon edited="0">
              <wp:start x="0" y="0"/>
              <wp:lineTo x="0" y="21341"/>
              <wp:lineTo x="21549" y="21341"/>
              <wp:lineTo x="21549" y="0"/>
              <wp:lineTo x="0" y="0"/>
            </wp:wrapPolygon>
          </wp:wrapThrough>
          <wp:docPr id="296116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50183" name="Imagen 240950183"/>
                  <pic:cNvPicPr/>
                </pic:nvPicPr>
                <pic:blipFill>
                  <a:blip r:embed="rId1">
                    <a:extLst>
                      <a:ext uri="{28A0092B-C50C-407E-A947-70E740481C1C}">
                        <a14:useLocalDpi xmlns:a14="http://schemas.microsoft.com/office/drawing/2010/main" val="0"/>
                      </a:ext>
                    </a:extLst>
                  </a:blip>
                  <a:stretch>
                    <a:fillRect/>
                  </a:stretch>
                </pic:blipFill>
                <pic:spPr>
                  <a:xfrm>
                    <a:off x="0" y="0"/>
                    <a:ext cx="7765603"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C0D"/>
    <w:multiLevelType w:val="hybridMultilevel"/>
    <w:tmpl w:val="E23CB618"/>
    <w:lvl w:ilvl="0" w:tplc="912CE944">
      <w:numFmt w:val="bullet"/>
      <w:lvlText w:val=""/>
      <w:lvlJc w:val="left"/>
      <w:pPr>
        <w:ind w:left="0" w:hanging="360"/>
      </w:pPr>
      <w:rPr>
        <w:rFonts w:ascii="Symbol" w:hAnsi="Symbol" w:cs="Calibri (Cuerpo)" w:hint="default"/>
        <w:color w:val="002FA7" w:themeColor="background2"/>
      </w:rPr>
    </w:lvl>
    <w:lvl w:ilvl="1" w:tplc="FFFFFFFF" w:tentative="1">
      <w:start w:val="1"/>
      <w:numFmt w:val="bullet"/>
      <w:lvlText w:val="&gt;"/>
      <w:lvlJc w:val="left"/>
      <w:pPr>
        <w:tabs>
          <w:tab w:val="num" w:pos="720"/>
        </w:tabs>
        <w:ind w:left="720" w:hanging="360"/>
      </w:pPr>
      <w:rPr>
        <w:rFonts w:ascii="Century Gothic" w:hAnsi="Century Gothic" w:hint="default"/>
      </w:rPr>
    </w:lvl>
    <w:lvl w:ilvl="2" w:tplc="FFFFFFFF" w:tentative="1">
      <w:start w:val="1"/>
      <w:numFmt w:val="bullet"/>
      <w:lvlText w:val="&gt;"/>
      <w:lvlJc w:val="left"/>
      <w:pPr>
        <w:tabs>
          <w:tab w:val="num" w:pos="1440"/>
        </w:tabs>
        <w:ind w:left="1440" w:hanging="360"/>
      </w:pPr>
      <w:rPr>
        <w:rFonts w:ascii="Century Gothic" w:hAnsi="Century Gothic" w:hint="default"/>
      </w:rPr>
    </w:lvl>
    <w:lvl w:ilvl="3" w:tplc="FFFFFFFF" w:tentative="1">
      <w:start w:val="1"/>
      <w:numFmt w:val="bullet"/>
      <w:lvlText w:val="&gt;"/>
      <w:lvlJc w:val="left"/>
      <w:pPr>
        <w:tabs>
          <w:tab w:val="num" w:pos="2160"/>
        </w:tabs>
        <w:ind w:left="2160" w:hanging="360"/>
      </w:pPr>
      <w:rPr>
        <w:rFonts w:ascii="Century Gothic" w:hAnsi="Century Gothic" w:hint="default"/>
      </w:rPr>
    </w:lvl>
    <w:lvl w:ilvl="4" w:tplc="FFFFFFFF" w:tentative="1">
      <w:start w:val="1"/>
      <w:numFmt w:val="bullet"/>
      <w:lvlText w:val="&gt;"/>
      <w:lvlJc w:val="left"/>
      <w:pPr>
        <w:tabs>
          <w:tab w:val="num" w:pos="2880"/>
        </w:tabs>
        <w:ind w:left="2880" w:hanging="360"/>
      </w:pPr>
      <w:rPr>
        <w:rFonts w:ascii="Century Gothic" w:hAnsi="Century Gothic" w:hint="default"/>
      </w:rPr>
    </w:lvl>
    <w:lvl w:ilvl="5" w:tplc="FFFFFFFF" w:tentative="1">
      <w:start w:val="1"/>
      <w:numFmt w:val="bullet"/>
      <w:lvlText w:val="&gt;"/>
      <w:lvlJc w:val="left"/>
      <w:pPr>
        <w:tabs>
          <w:tab w:val="num" w:pos="3600"/>
        </w:tabs>
        <w:ind w:left="3600" w:hanging="360"/>
      </w:pPr>
      <w:rPr>
        <w:rFonts w:ascii="Century Gothic" w:hAnsi="Century Gothic" w:hint="default"/>
      </w:rPr>
    </w:lvl>
    <w:lvl w:ilvl="6" w:tplc="FFFFFFFF" w:tentative="1">
      <w:start w:val="1"/>
      <w:numFmt w:val="bullet"/>
      <w:lvlText w:val="&gt;"/>
      <w:lvlJc w:val="left"/>
      <w:pPr>
        <w:tabs>
          <w:tab w:val="num" w:pos="4320"/>
        </w:tabs>
        <w:ind w:left="4320" w:hanging="360"/>
      </w:pPr>
      <w:rPr>
        <w:rFonts w:ascii="Century Gothic" w:hAnsi="Century Gothic" w:hint="default"/>
      </w:rPr>
    </w:lvl>
    <w:lvl w:ilvl="7" w:tplc="FFFFFFFF" w:tentative="1">
      <w:start w:val="1"/>
      <w:numFmt w:val="bullet"/>
      <w:lvlText w:val="&gt;"/>
      <w:lvlJc w:val="left"/>
      <w:pPr>
        <w:tabs>
          <w:tab w:val="num" w:pos="5040"/>
        </w:tabs>
        <w:ind w:left="5040" w:hanging="360"/>
      </w:pPr>
      <w:rPr>
        <w:rFonts w:ascii="Century Gothic" w:hAnsi="Century Gothic" w:hint="default"/>
      </w:rPr>
    </w:lvl>
    <w:lvl w:ilvl="8" w:tplc="FFFFFFFF" w:tentative="1">
      <w:start w:val="1"/>
      <w:numFmt w:val="bullet"/>
      <w:lvlText w:val="&gt;"/>
      <w:lvlJc w:val="left"/>
      <w:pPr>
        <w:tabs>
          <w:tab w:val="num" w:pos="5760"/>
        </w:tabs>
        <w:ind w:left="5760" w:hanging="360"/>
      </w:pPr>
      <w:rPr>
        <w:rFonts w:ascii="Century Gothic" w:hAnsi="Century Gothic" w:hint="default"/>
      </w:rPr>
    </w:lvl>
  </w:abstractNum>
  <w:abstractNum w:abstractNumId="1" w15:restartNumberingAfterBreak="0">
    <w:nsid w:val="0B9461CE"/>
    <w:multiLevelType w:val="hybridMultilevel"/>
    <w:tmpl w:val="E864DEBE"/>
    <w:lvl w:ilvl="0" w:tplc="912CE944">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97F83"/>
    <w:multiLevelType w:val="hybridMultilevel"/>
    <w:tmpl w:val="E3887A5A"/>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932FD"/>
    <w:multiLevelType w:val="hybridMultilevel"/>
    <w:tmpl w:val="939671FC"/>
    <w:lvl w:ilvl="0" w:tplc="2ABA6D90">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58264D"/>
    <w:multiLevelType w:val="hybridMultilevel"/>
    <w:tmpl w:val="FB72F2C0"/>
    <w:lvl w:ilvl="0" w:tplc="40DA3DE6">
      <w:numFmt w:val="bullet"/>
      <w:lvlText w:val=""/>
      <w:lvlJc w:val="left"/>
      <w:pPr>
        <w:ind w:left="720" w:hanging="360"/>
      </w:pPr>
      <w:rPr>
        <w:rFonts w:ascii="Symbol" w:hAnsi="Symbol" w:cs="Calibri (Cuerpo)"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861852"/>
    <w:multiLevelType w:val="hybridMultilevel"/>
    <w:tmpl w:val="287A44F8"/>
    <w:lvl w:ilvl="0" w:tplc="68E6E032">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6" w15:restartNumberingAfterBreak="0">
    <w:nsid w:val="36BC0A1C"/>
    <w:multiLevelType w:val="hybridMultilevel"/>
    <w:tmpl w:val="FDA0AF9E"/>
    <w:lvl w:ilvl="0" w:tplc="6B0E4EA8">
      <w:numFmt w:val="bullet"/>
      <w:lvlText w:val=""/>
      <w:lvlJc w:val="left"/>
      <w:pPr>
        <w:ind w:left="720" w:hanging="360"/>
      </w:pPr>
      <w:rPr>
        <w:rFonts w:ascii="Wingdings" w:eastAsia="Times New Roman" w:hAnsi="Wingdings" w:cs="Calibri" w:hint="default"/>
        <w:color w:val="B5283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8057EF"/>
    <w:multiLevelType w:val="hybridMultilevel"/>
    <w:tmpl w:val="E21CC666"/>
    <w:lvl w:ilvl="0" w:tplc="782E1E5A">
      <w:numFmt w:val="bullet"/>
      <w:lvlText w:val=""/>
      <w:lvlJc w:val="left"/>
      <w:pPr>
        <w:ind w:left="720" w:hanging="360"/>
      </w:pPr>
      <w:rPr>
        <w:rFonts w:ascii="Wingdings" w:eastAsia="Times New Roman" w:hAnsi="Wingdings"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890A6A"/>
    <w:multiLevelType w:val="hybridMultilevel"/>
    <w:tmpl w:val="7F206D12"/>
    <w:lvl w:ilvl="0" w:tplc="FD16F3FA">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9" w15:restartNumberingAfterBreak="0">
    <w:nsid w:val="64462C12"/>
    <w:multiLevelType w:val="hybridMultilevel"/>
    <w:tmpl w:val="6ADAA9CC"/>
    <w:lvl w:ilvl="0" w:tplc="7054DA4C">
      <w:start w:val="1"/>
      <w:numFmt w:val="decimal"/>
      <w:lvlText w:val="(%1)"/>
      <w:lvlJc w:val="left"/>
      <w:pPr>
        <w:ind w:left="360" w:hanging="360"/>
      </w:pPr>
      <w:rPr>
        <w:rFonts w:eastAsia="Times New Roman"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323361"/>
    <w:multiLevelType w:val="hybridMultilevel"/>
    <w:tmpl w:val="99664778"/>
    <w:lvl w:ilvl="0" w:tplc="449C86D4">
      <w:start w:val="1"/>
      <w:numFmt w:val="decimal"/>
      <w:lvlText w:val="(%1)"/>
      <w:lvlJc w:val="left"/>
      <w:pPr>
        <w:ind w:left="502" w:hanging="360"/>
      </w:pPr>
      <w:rPr>
        <w:rFonts w:hint="default"/>
        <w:vertAlign w:val="superscrip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7851107A"/>
    <w:multiLevelType w:val="hybridMultilevel"/>
    <w:tmpl w:val="CA023C6E"/>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1312B2"/>
    <w:multiLevelType w:val="hybridMultilevel"/>
    <w:tmpl w:val="96BE6E66"/>
    <w:lvl w:ilvl="0" w:tplc="CBCE1E90">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13" w15:restartNumberingAfterBreak="0">
    <w:nsid w:val="7D765A09"/>
    <w:multiLevelType w:val="hybridMultilevel"/>
    <w:tmpl w:val="BFC43DD4"/>
    <w:lvl w:ilvl="0" w:tplc="1CC65750">
      <w:start w:val="1"/>
      <w:numFmt w:val="bullet"/>
      <w:lvlText w:val="&gt;"/>
      <w:lvlJc w:val="left"/>
      <w:pPr>
        <w:tabs>
          <w:tab w:val="num" w:pos="360"/>
        </w:tabs>
        <w:ind w:left="360" w:hanging="360"/>
      </w:pPr>
      <w:rPr>
        <w:rFonts w:ascii="Century Gothic" w:hAnsi="Century Gothic" w:hint="default"/>
        <w:color w:val="B5283D"/>
      </w:rPr>
    </w:lvl>
    <w:lvl w:ilvl="1" w:tplc="C4AA517C" w:tentative="1">
      <w:start w:val="1"/>
      <w:numFmt w:val="bullet"/>
      <w:lvlText w:val="&gt;"/>
      <w:lvlJc w:val="left"/>
      <w:pPr>
        <w:tabs>
          <w:tab w:val="num" w:pos="1080"/>
        </w:tabs>
        <w:ind w:left="1080" w:hanging="360"/>
      </w:pPr>
      <w:rPr>
        <w:rFonts w:ascii="Century Gothic" w:hAnsi="Century Gothic" w:hint="default"/>
      </w:rPr>
    </w:lvl>
    <w:lvl w:ilvl="2" w:tplc="59022ADC" w:tentative="1">
      <w:start w:val="1"/>
      <w:numFmt w:val="bullet"/>
      <w:lvlText w:val="&gt;"/>
      <w:lvlJc w:val="left"/>
      <w:pPr>
        <w:tabs>
          <w:tab w:val="num" w:pos="1800"/>
        </w:tabs>
        <w:ind w:left="1800" w:hanging="360"/>
      </w:pPr>
      <w:rPr>
        <w:rFonts w:ascii="Century Gothic" w:hAnsi="Century Gothic" w:hint="default"/>
      </w:rPr>
    </w:lvl>
    <w:lvl w:ilvl="3" w:tplc="A662B142" w:tentative="1">
      <w:start w:val="1"/>
      <w:numFmt w:val="bullet"/>
      <w:lvlText w:val="&gt;"/>
      <w:lvlJc w:val="left"/>
      <w:pPr>
        <w:tabs>
          <w:tab w:val="num" w:pos="2520"/>
        </w:tabs>
        <w:ind w:left="2520" w:hanging="360"/>
      </w:pPr>
      <w:rPr>
        <w:rFonts w:ascii="Century Gothic" w:hAnsi="Century Gothic" w:hint="default"/>
      </w:rPr>
    </w:lvl>
    <w:lvl w:ilvl="4" w:tplc="DEFAB82C" w:tentative="1">
      <w:start w:val="1"/>
      <w:numFmt w:val="bullet"/>
      <w:lvlText w:val="&gt;"/>
      <w:lvlJc w:val="left"/>
      <w:pPr>
        <w:tabs>
          <w:tab w:val="num" w:pos="3240"/>
        </w:tabs>
        <w:ind w:left="3240" w:hanging="360"/>
      </w:pPr>
      <w:rPr>
        <w:rFonts w:ascii="Century Gothic" w:hAnsi="Century Gothic" w:hint="default"/>
      </w:rPr>
    </w:lvl>
    <w:lvl w:ilvl="5" w:tplc="18027662" w:tentative="1">
      <w:start w:val="1"/>
      <w:numFmt w:val="bullet"/>
      <w:lvlText w:val="&gt;"/>
      <w:lvlJc w:val="left"/>
      <w:pPr>
        <w:tabs>
          <w:tab w:val="num" w:pos="3960"/>
        </w:tabs>
        <w:ind w:left="3960" w:hanging="360"/>
      </w:pPr>
      <w:rPr>
        <w:rFonts w:ascii="Century Gothic" w:hAnsi="Century Gothic" w:hint="default"/>
      </w:rPr>
    </w:lvl>
    <w:lvl w:ilvl="6" w:tplc="2828CD2E" w:tentative="1">
      <w:start w:val="1"/>
      <w:numFmt w:val="bullet"/>
      <w:lvlText w:val="&gt;"/>
      <w:lvlJc w:val="left"/>
      <w:pPr>
        <w:tabs>
          <w:tab w:val="num" w:pos="4680"/>
        </w:tabs>
        <w:ind w:left="4680" w:hanging="360"/>
      </w:pPr>
      <w:rPr>
        <w:rFonts w:ascii="Century Gothic" w:hAnsi="Century Gothic" w:hint="default"/>
      </w:rPr>
    </w:lvl>
    <w:lvl w:ilvl="7" w:tplc="11D6C128" w:tentative="1">
      <w:start w:val="1"/>
      <w:numFmt w:val="bullet"/>
      <w:lvlText w:val="&gt;"/>
      <w:lvlJc w:val="left"/>
      <w:pPr>
        <w:tabs>
          <w:tab w:val="num" w:pos="5400"/>
        </w:tabs>
        <w:ind w:left="5400" w:hanging="360"/>
      </w:pPr>
      <w:rPr>
        <w:rFonts w:ascii="Century Gothic" w:hAnsi="Century Gothic" w:hint="default"/>
      </w:rPr>
    </w:lvl>
    <w:lvl w:ilvl="8" w:tplc="940AD774" w:tentative="1">
      <w:start w:val="1"/>
      <w:numFmt w:val="bullet"/>
      <w:lvlText w:val="&gt;"/>
      <w:lvlJc w:val="left"/>
      <w:pPr>
        <w:tabs>
          <w:tab w:val="num" w:pos="6120"/>
        </w:tabs>
        <w:ind w:left="6120" w:hanging="360"/>
      </w:pPr>
      <w:rPr>
        <w:rFonts w:ascii="Century Gothic" w:hAnsi="Century Gothic" w:hint="default"/>
      </w:rPr>
    </w:lvl>
  </w:abstractNum>
  <w:num w:numId="1" w16cid:durableId="1750343935">
    <w:abstractNumId w:val="13"/>
  </w:num>
  <w:num w:numId="2" w16cid:durableId="1223440373">
    <w:abstractNumId w:val="9"/>
  </w:num>
  <w:num w:numId="3" w16cid:durableId="2006088281">
    <w:abstractNumId w:val="1"/>
  </w:num>
  <w:num w:numId="4" w16cid:durableId="2042054444">
    <w:abstractNumId w:val="6"/>
  </w:num>
  <w:num w:numId="5" w16cid:durableId="829642487">
    <w:abstractNumId w:val="3"/>
  </w:num>
  <w:num w:numId="6" w16cid:durableId="983046640">
    <w:abstractNumId w:val="7"/>
  </w:num>
  <w:num w:numId="7" w16cid:durableId="1989816672">
    <w:abstractNumId w:val="12"/>
  </w:num>
  <w:num w:numId="8" w16cid:durableId="164445650">
    <w:abstractNumId w:val="2"/>
  </w:num>
  <w:num w:numId="9" w16cid:durableId="1337996717">
    <w:abstractNumId w:val="11"/>
  </w:num>
  <w:num w:numId="10" w16cid:durableId="502401610">
    <w:abstractNumId w:val="4"/>
  </w:num>
  <w:num w:numId="11" w16cid:durableId="499588517">
    <w:abstractNumId w:val="8"/>
  </w:num>
  <w:num w:numId="12" w16cid:durableId="641546186">
    <w:abstractNumId w:val="5"/>
  </w:num>
  <w:num w:numId="13" w16cid:durableId="494882108">
    <w:abstractNumId w:val="10"/>
  </w:num>
  <w:num w:numId="14" w16cid:durableId="65969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67"/>
    <w:rsid w:val="0000306C"/>
    <w:rsid w:val="000061E8"/>
    <w:rsid w:val="00022EBC"/>
    <w:rsid w:val="00031391"/>
    <w:rsid w:val="0003280B"/>
    <w:rsid w:val="00035A0A"/>
    <w:rsid w:val="00037B15"/>
    <w:rsid w:val="0005418D"/>
    <w:rsid w:val="00054726"/>
    <w:rsid w:val="0006036C"/>
    <w:rsid w:val="00060C63"/>
    <w:rsid w:val="0006256D"/>
    <w:rsid w:val="00062C25"/>
    <w:rsid w:val="00065C21"/>
    <w:rsid w:val="00067B74"/>
    <w:rsid w:val="000720FA"/>
    <w:rsid w:val="000722D4"/>
    <w:rsid w:val="00072FC4"/>
    <w:rsid w:val="0007417B"/>
    <w:rsid w:val="00080752"/>
    <w:rsid w:val="00084F20"/>
    <w:rsid w:val="00090F82"/>
    <w:rsid w:val="00096396"/>
    <w:rsid w:val="000A324A"/>
    <w:rsid w:val="000A3B85"/>
    <w:rsid w:val="000B0F9A"/>
    <w:rsid w:val="000B39BA"/>
    <w:rsid w:val="000C0DA0"/>
    <w:rsid w:val="000C0E20"/>
    <w:rsid w:val="000C1B34"/>
    <w:rsid w:val="000C5CA8"/>
    <w:rsid w:val="000D05DC"/>
    <w:rsid w:val="000D46F6"/>
    <w:rsid w:val="000D4797"/>
    <w:rsid w:val="000E0916"/>
    <w:rsid w:val="000E4B83"/>
    <w:rsid w:val="000E4BBC"/>
    <w:rsid w:val="000E5363"/>
    <w:rsid w:val="000F2034"/>
    <w:rsid w:val="000F3624"/>
    <w:rsid w:val="000F4AC3"/>
    <w:rsid w:val="000F502C"/>
    <w:rsid w:val="00101255"/>
    <w:rsid w:val="001066BB"/>
    <w:rsid w:val="00107188"/>
    <w:rsid w:val="00115A80"/>
    <w:rsid w:val="00115FD8"/>
    <w:rsid w:val="0012633A"/>
    <w:rsid w:val="001266A4"/>
    <w:rsid w:val="001404DC"/>
    <w:rsid w:val="0015356F"/>
    <w:rsid w:val="00154ADA"/>
    <w:rsid w:val="00155456"/>
    <w:rsid w:val="00156FB7"/>
    <w:rsid w:val="00161EFF"/>
    <w:rsid w:val="00170214"/>
    <w:rsid w:val="00174547"/>
    <w:rsid w:val="0017765C"/>
    <w:rsid w:val="001831DF"/>
    <w:rsid w:val="0019069F"/>
    <w:rsid w:val="001A1907"/>
    <w:rsid w:val="001A2467"/>
    <w:rsid w:val="001A2D34"/>
    <w:rsid w:val="001B0CD8"/>
    <w:rsid w:val="001B2B47"/>
    <w:rsid w:val="001B5383"/>
    <w:rsid w:val="001B57BF"/>
    <w:rsid w:val="001B60FD"/>
    <w:rsid w:val="001C5EDA"/>
    <w:rsid w:val="001D07A9"/>
    <w:rsid w:val="001E18C4"/>
    <w:rsid w:val="001E5CA2"/>
    <w:rsid w:val="001E7CA7"/>
    <w:rsid w:val="001F31DE"/>
    <w:rsid w:val="001F794C"/>
    <w:rsid w:val="00200302"/>
    <w:rsid w:val="00205612"/>
    <w:rsid w:val="002077F9"/>
    <w:rsid w:val="002106DC"/>
    <w:rsid w:val="0021173F"/>
    <w:rsid w:val="00216D18"/>
    <w:rsid w:val="00222C0B"/>
    <w:rsid w:val="00230599"/>
    <w:rsid w:val="002317D2"/>
    <w:rsid w:val="0023538C"/>
    <w:rsid w:val="002356D6"/>
    <w:rsid w:val="002500EE"/>
    <w:rsid w:val="002503E5"/>
    <w:rsid w:val="0025440F"/>
    <w:rsid w:val="0026050F"/>
    <w:rsid w:val="00276334"/>
    <w:rsid w:val="00276D51"/>
    <w:rsid w:val="002777A3"/>
    <w:rsid w:val="0028135D"/>
    <w:rsid w:val="0028454A"/>
    <w:rsid w:val="00284B8C"/>
    <w:rsid w:val="00285ED3"/>
    <w:rsid w:val="00286868"/>
    <w:rsid w:val="0029080E"/>
    <w:rsid w:val="002A025A"/>
    <w:rsid w:val="002A2B9B"/>
    <w:rsid w:val="002A3EE5"/>
    <w:rsid w:val="002A6A9A"/>
    <w:rsid w:val="002C6529"/>
    <w:rsid w:val="002D71EA"/>
    <w:rsid w:val="002E1656"/>
    <w:rsid w:val="002E1BB7"/>
    <w:rsid w:val="002E2477"/>
    <w:rsid w:val="002E250D"/>
    <w:rsid w:val="002E6EDD"/>
    <w:rsid w:val="00302263"/>
    <w:rsid w:val="00302CA3"/>
    <w:rsid w:val="00322C5D"/>
    <w:rsid w:val="00324775"/>
    <w:rsid w:val="00326A76"/>
    <w:rsid w:val="003274C5"/>
    <w:rsid w:val="00331877"/>
    <w:rsid w:val="003334DC"/>
    <w:rsid w:val="003336A8"/>
    <w:rsid w:val="00335B81"/>
    <w:rsid w:val="00335E66"/>
    <w:rsid w:val="00344480"/>
    <w:rsid w:val="00346E73"/>
    <w:rsid w:val="003503A7"/>
    <w:rsid w:val="0035216E"/>
    <w:rsid w:val="0035281A"/>
    <w:rsid w:val="00357E1D"/>
    <w:rsid w:val="003713C8"/>
    <w:rsid w:val="00381689"/>
    <w:rsid w:val="00384C80"/>
    <w:rsid w:val="003909B7"/>
    <w:rsid w:val="003958DC"/>
    <w:rsid w:val="00396AD6"/>
    <w:rsid w:val="003A360F"/>
    <w:rsid w:val="003A6457"/>
    <w:rsid w:val="003A70A3"/>
    <w:rsid w:val="003A7ED8"/>
    <w:rsid w:val="003B768F"/>
    <w:rsid w:val="003B7B58"/>
    <w:rsid w:val="003D0712"/>
    <w:rsid w:val="003D1A4A"/>
    <w:rsid w:val="003D3315"/>
    <w:rsid w:val="003D3495"/>
    <w:rsid w:val="003D40E6"/>
    <w:rsid w:val="003E1007"/>
    <w:rsid w:val="003E5544"/>
    <w:rsid w:val="003E55C0"/>
    <w:rsid w:val="003E5942"/>
    <w:rsid w:val="003E752F"/>
    <w:rsid w:val="003E7802"/>
    <w:rsid w:val="003E7EA6"/>
    <w:rsid w:val="003F0FE1"/>
    <w:rsid w:val="003F3EF5"/>
    <w:rsid w:val="003F46F1"/>
    <w:rsid w:val="003F61DC"/>
    <w:rsid w:val="003F640D"/>
    <w:rsid w:val="0040197B"/>
    <w:rsid w:val="004037E9"/>
    <w:rsid w:val="00407BC0"/>
    <w:rsid w:val="00412557"/>
    <w:rsid w:val="00412E96"/>
    <w:rsid w:val="00413F7F"/>
    <w:rsid w:val="00415441"/>
    <w:rsid w:val="004168B9"/>
    <w:rsid w:val="0041772B"/>
    <w:rsid w:val="00425961"/>
    <w:rsid w:val="00427AE8"/>
    <w:rsid w:val="004318A8"/>
    <w:rsid w:val="004326B2"/>
    <w:rsid w:val="004331C9"/>
    <w:rsid w:val="00433316"/>
    <w:rsid w:val="004348C2"/>
    <w:rsid w:val="0044394E"/>
    <w:rsid w:val="00444B54"/>
    <w:rsid w:val="004471D0"/>
    <w:rsid w:val="004508F9"/>
    <w:rsid w:val="00450AA1"/>
    <w:rsid w:val="00451A48"/>
    <w:rsid w:val="004527E1"/>
    <w:rsid w:val="00453911"/>
    <w:rsid w:val="00455DE1"/>
    <w:rsid w:val="00463768"/>
    <w:rsid w:val="004663E9"/>
    <w:rsid w:val="00467368"/>
    <w:rsid w:val="00467900"/>
    <w:rsid w:val="0047029C"/>
    <w:rsid w:val="00470C9C"/>
    <w:rsid w:val="00474DBA"/>
    <w:rsid w:val="00474F10"/>
    <w:rsid w:val="00475098"/>
    <w:rsid w:val="004760B8"/>
    <w:rsid w:val="00476C1D"/>
    <w:rsid w:val="00477567"/>
    <w:rsid w:val="00482F5B"/>
    <w:rsid w:val="0048392F"/>
    <w:rsid w:val="00483F04"/>
    <w:rsid w:val="00490A86"/>
    <w:rsid w:val="0049160A"/>
    <w:rsid w:val="004A0763"/>
    <w:rsid w:val="004B722A"/>
    <w:rsid w:val="004C08B7"/>
    <w:rsid w:val="004C08FF"/>
    <w:rsid w:val="004C61D9"/>
    <w:rsid w:val="004D07F8"/>
    <w:rsid w:val="004D6BE1"/>
    <w:rsid w:val="004E5F40"/>
    <w:rsid w:val="004E6A74"/>
    <w:rsid w:val="004F0E03"/>
    <w:rsid w:val="004F2CFA"/>
    <w:rsid w:val="004F35D4"/>
    <w:rsid w:val="004F3EF8"/>
    <w:rsid w:val="004F4524"/>
    <w:rsid w:val="004F60D8"/>
    <w:rsid w:val="004F753A"/>
    <w:rsid w:val="005000F8"/>
    <w:rsid w:val="00504F42"/>
    <w:rsid w:val="00506337"/>
    <w:rsid w:val="00522B2D"/>
    <w:rsid w:val="00526515"/>
    <w:rsid w:val="005270B3"/>
    <w:rsid w:val="00530706"/>
    <w:rsid w:val="00543181"/>
    <w:rsid w:val="00543784"/>
    <w:rsid w:val="00547E7C"/>
    <w:rsid w:val="0055047E"/>
    <w:rsid w:val="005508D7"/>
    <w:rsid w:val="00553049"/>
    <w:rsid w:val="00560BBC"/>
    <w:rsid w:val="005626ED"/>
    <w:rsid w:val="00567677"/>
    <w:rsid w:val="0057032B"/>
    <w:rsid w:val="00571543"/>
    <w:rsid w:val="00573996"/>
    <w:rsid w:val="00576C3C"/>
    <w:rsid w:val="005870A3"/>
    <w:rsid w:val="0058EAD3"/>
    <w:rsid w:val="00591C40"/>
    <w:rsid w:val="00593C8F"/>
    <w:rsid w:val="005940EC"/>
    <w:rsid w:val="00595BD7"/>
    <w:rsid w:val="005968AB"/>
    <w:rsid w:val="00597892"/>
    <w:rsid w:val="005A6B87"/>
    <w:rsid w:val="005B1C06"/>
    <w:rsid w:val="005B20CF"/>
    <w:rsid w:val="005B2270"/>
    <w:rsid w:val="005B2632"/>
    <w:rsid w:val="005B2D61"/>
    <w:rsid w:val="005B3033"/>
    <w:rsid w:val="005B35B0"/>
    <w:rsid w:val="005B455F"/>
    <w:rsid w:val="005B57F9"/>
    <w:rsid w:val="005C1A98"/>
    <w:rsid w:val="005C22B1"/>
    <w:rsid w:val="005C42A1"/>
    <w:rsid w:val="005C5C7C"/>
    <w:rsid w:val="005C7B49"/>
    <w:rsid w:val="005D0340"/>
    <w:rsid w:val="005D282B"/>
    <w:rsid w:val="005D6A4D"/>
    <w:rsid w:val="005D71D0"/>
    <w:rsid w:val="005E00DD"/>
    <w:rsid w:val="005E2D7D"/>
    <w:rsid w:val="005E2FF8"/>
    <w:rsid w:val="005E43CD"/>
    <w:rsid w:val="005E5E08"/>
    <w:rsid w:val="005E6815"/>
    <w:rsid w:val="005E6B45"/>
    <w:rsid w:val="005E7234"/>
    <w:rsid w:val="005E7FF3"/>
    <w:rsid w:val="005F2450"/>
    <w:rsid w:val="006025B4"/>
    <w:rsid w:val="00612A20"/>
    <w:rsid w:val="006142C7"/>
    <w:rsid w:val="00615F67"/>
    <w:rsid w:val="006261BF"/>
    <w:rsid w:val="006271FF"/>
    <w:rsid w:val="006341C5"/>
    <w:rsid w:val="006358F1"/>
    <w:rsid w:val="00641147"/>
    <w:rsid w:val="0064201A"/>
    <w:rsid w:val="00642D1D"/>
    <w:rsid w:val="00656746"/>
    <w:rsid w:val="006623C5"/>
    <w:rsid w:val="006625D9"/>
    <w:rsid w:val="00665F10"/>
    <w:rsid w:val="006738D6"/>
    <w:rsid w:val="00674CB1"/>
    <w:rsid w:val="006759D8"/>
    <w:rsid w:val="00680C1F"/>
    <w:rsid w:val="00680C90"/>
    <w:rsid w:val="00683A28"/>
    <w:rsid w:val="00686C2C"/>
    <w:rsid w:val="00691F5E"/>
    <w:rsid w:val="00696559"/>
    <w:rsid w:val="006A049F"/>
    <w:rsid w:val="006A1E2C"/>
    <w:rsid w:val="006A4C50"/>
    <w:rsid w:val="006A6F43"/>
    <w:rsid w:val="006B127F"/>
    <w:rsid w:val="006B2A84"/>
    <w:rsid w:val="006B746D"/>
    <w:rsid w:val="006B7E0D"/>
    <w:rsid w:val="006C143E"/>
    <w:rsid w:val="006C26D8"/>
    <w:rsid w:val="006C29D6"/>
    <w:rsid w:val="006C7704"/>
    <w:rsid w:val="006D2FE4"/>
    <w:rsid w:val="006D3C59"/>
    <w:rsid w:val="006D8841"/>
    <w:rsid w:val="006E1233"/>
    <w:rsid w:val="006E201B"/>
    <w:rsid w:val="006E630A"/>
    <w:rsid w:val="006E68D2"/>
    <w:rsid w:val="006E702F"/>
    <w:rsid w:val="006F33A8"/>
    <w:rsid w:val="006F5CB9"/>
    <w:rsid w:val="0070036C"/>
    <w:rsid w:val="0070341F"/>
    <w:rsid w:val="00704214"/>
    <w:rsid w:val="00706116"/>
    <w:rsid w:val="00716DCB"/>
    <w:rsid w:val="00721463"/>
    <w:rsid w:val="0072210B"/>
    <w:rsid w:val="007340ED"/>
    <w:rsid w:val="00740188"/>
    <w:rsid w:val="00741DB5"/>
    <w:rsid w:val="007424CC"/>
    <w:rsid w:val="0074714A"/>
    <w:rsid w:val="007474D4"/>
    <w:rsid w:val="00760142"/>
    <w:rsid w:val="00767951"/>
    <w:rsid w:val="007708B6"/>
    <w:rsid w:val="00772D1E"/>
    <w:rsid w:val="00773C4D"/>
    <w:rsid w:val="00777B50"/>
    <w:rsid w:val="00780222"/>
    <w:rsid w:val="007845FD"/>
    <w:rsid w:val="00784948"/>
    <w:rsid w:val="00791E5C"/>
    <w:rsid w:val="007962FC"/>
    <w:rsid w:val="007975D3"/>
    <w:rsid w:val="007A1467"/>
    <w:rsid w:val="007A233A"/>
    <w:rsid w:val="007A757C"/>
    <w:rsid w:val="007B62C1"/>
    <w:rsid w:val="007C25C5"/>
    <w:rsid w:val="007C3094"/>
    <w:rsid w:val="007C42EB"/>
    <w:rsid w:val="007D12AB"/>
    <w:rsid w:val="007D1D8D"/>
    <w:rsid w:val="007D4640"/>
    <w:rsid w:val="007D7D44"/>
    <w:rsid w:val="007E085B"/>
    <w:rsid w:val="007E2E07"/>
    <w:rsid w:val="007E35F7"/>
    <w:rsid w:val="007E572C"/>
    <w:rsid w:val="007E60CE"/>
    <w:rsid w:val="00800E0E"/>
    <w:rsid w:val="00803FFD"/>
    <w:rsid w:val="0080451B"/>
    <w:rsid w:val="00805D24"/>
    <w:rsid w:val="00806921"/>
    <w:rsid w:val="00813712"/>
    <w:rsid w:val="00814F35"/>
    <w:rsid w:val="00815C07"/>
    <w:rsid w:val="00816FCC"/>
    <w:rsid w:val="00820E43"/>
    <w:rsid w:val="00821703"/>
    <w:rsid w:val="00821A2B"/>
    <w:rsid w:val="00825B6C"/>
    <w:rsid w:val="00826567"/>
    <w:rsid w:val="00827E12"/>
    <w:rsid w:val="00836231"/>
    <w:rsid w:val="00842E90"/>
    <w:rsid w:val="00862BDD"/>
    <w:rsid w:val="00863548"/>
    <w:rsid w:val="00864C79"/>
    <w:rsid w:val="008665AE"/>
    <w:rsid w:val="0086776C"/>
    <w:rsid w:val="00870B39"/>
    <w:rsid w:val="0087296E"/>
    <w:rsid w:val="00873FAB"/>
    <w:rsid w:val="0087401F"/>
    <w:rsid w:val="00874AD0"/>
    <w:rsid w:val="00874FF4"/>
    <w:rsid w:val="0088109A"/>
    <w:rsid w:val="008863DB"/>
    <w:rsid w:val="00887052"/>
    <w:rsid w:val="008913C5"/>
    <w:rsid w:val="00891431"/>
    <w:rsid w:val="00892DD2"/>
    <w:rsid w:val="00897661"/>
    <w:rsid w:val="008A0C18"/>
    <w:rsid w:val="008A683C"/>
    <w:rsid w:val="008A6EDB"/>
    <w:rsid w:val="008B363F"/>
    <w:rsid w:val="008B4031"/>
    <w:rsid w:val="008C0867"/>
    <w:rsid w:val="008C0A5D"/>
    <w:rsid w:val="008C5956"/>
    <w:rsid w:val="008D64A4"/>
    <w:rsid w:val="008D70D2"/>
    <w:rsid w:val="008E162B"/>
    <w:rsid w:val="008E2FE7"/>
    <w:rsid w:val="008E7F97"/>
    <w:rsid w:val="008F6097"/>
    <w:rsid w:val="008F60D5"/>
    <w:rsid w:val="009059D8"/>
    <w:rsid w:val="009060E2"/>
    <w:rsid w:val="00911614"/>
    <w:rsid w:val="009161CA"/>
    <w:rsid w:val="00922953"/>
    <w:rsid w:val="009229F4"/>
    <w:rsid w:val="00923E47"/>
    <w:rsid w:val="00926089"/>
    <w:rsid w:val="00927A1B"/>
    <w:rsid w:val="00927F82"/>
    <w:rsid w:val="009369D6"/>
    <w:rsid w:val="009402FC"/>
    <w:rsid w:val="00945EA8"/>
    <w:rsid w:val="00951297"/>
    <w:rsid w:val="009534D3"/>
    <w:rsid w:val="009567FA"/>
    <w:rsid w:val="00956CD7"/>
    <w:rsid w:val="00963059"/>
    <w:rsid w:val="009704FC"/>
    <w:rsid w:val="00971046"/>
    <w:rsid w:val="00993BD5"/>
    <w:rsid w:val="009974B4"/>
    <w:rsid w:val="00997A42"/>
    <w:rsid w:val="00997E63"/>
    <w:rsid w:val="009A21E4"/>
    <w:rsid w:val="009A2735"/>
    <w:rsid w:val="009A2F70"/>
    <w:rsid w:val="009B12DF"/>
    <w:rsid w:val="009B5557"/>
    <w:rsid w:val="009B561D"/>
    <w:rsid w:val="009B70F5"/>
    <w:rsid w:val="009B7F9E"/>
    <w:rsid w:val="009C2720"/>
    <w:rsid w:val="009C27AF"/>
    <w:rsid w:val="009C7E38"/>
    <w:rsid w:val="009D48B0"/>
    <w:rsid w:val="009D5597"/>
    <w:rsid w:val="009D5983"/>
    <w:rsid w:val="009E07FF"/>
    <w:rsid w:val="009E4221"/>
    <w:rsid w:val="009E5409"/>
    <w:rsid w:val="009F103A"/>
    <w:rsid w:val="009F2E59"/>
    <w:rsid w:val="009F5570"/>
    <w:rsid w:val="009F774D"/>
    <w:rsid w:val="009F77F6"/>
    <w:rsid w:val="00A01B3F"/>
    <w:rsid w:val="00A02390"/>
    <w:rsid w:val="00A108EA"/>
    <w:rsid w:val="00A119B6"/>
    <w:rsid w:val="00A11AF8"/>
    <w:rsid w:val="00A12BAB"/>
    <w:rsid w:val="00A14349"/>
    <w:rsid w:val="00A21244"/>
    <w:rsid w:val="00A23352"/>
    <w:rsid w:val="00A24F7F"/>
    <w:rsid w:val="00A27EE5"/>
    <w:rsid w:val="00A322FD"/>
    <w:rsid w:val="00A341F4"/>
    <w:rsid w:val="00A4076D"/>
    <w:rsid w:val="00A40D42"/>
    <w:rsid w:val="00A41394"/>
    <w:rsid w:val="00A46318"/>
    <w:rsid w:val="00A5760F"/>
    <w:rsid w:val="00A610A0"/>
    <w:rsid w:val="00A624CA"/>
    <w:rsid w:val="00A6474A"/>
    <w:rsid w:val="00A65C2E"/>
    <w:rsid w:val="00A66B86"/>
    <w:rsid w:val="00A71AAA"/>
    <w:rsid w:val="00A7373C"/>
    <w:rsid w:val="00A8359D"/>
    <w:rsid w:val="00A92370"/>
    <w:rsid w:val="00A931C4"/>
    <w:rsid w:val="00A94050"/>
    <w:rsid w:val="00A94648"/>
    <w:rsid w:val="00A9575F"/>
    <w:rsid w:val="00A95B58"/>
    <w:rsid w:val="00A97470"/>
    <w:rsid w:val="00AA67FF"/>
    <w:rsid w:val="00AA707F"/>
    <w:rsid w:val="00AA7946"/>
    <w:rsid w:val="00AA7A1F"/>
    <w:rsid w:val="00AB2F11"/>
    <w:rsid w:val="00AB3C22"/>
    <w:rsid w:val="00AB4B09"/>
    <w:rsid w:val="00AB7189"/>
    <w:rsid w:val="00AC0EE6"/>
    <w:rsid w:val="00AC1628"/>
    <w:rsid w:val="00AC2633"/>
    <w:rsid w:val="00AC3F90"/>
    <w:rsid w:val="00AC4538"/>
    <w:rsid w:val="00AC6AD6"/>
    <w:rsid w:val="00AD05FA"/>
    <w:rsid w:val="00AD228F"/>
    <w:rsid w:val="00AD380E"/>
    <w:rsid w:val="00AD4D52"/>
    <w:rsid w:val="00AD4F81"/>
    <w:rsid w:val="00AD51D5"/>
    <w:rsid w:val="00AD75CF"/>
    <w:rsid w:val="00AE373A"/>
    <w:rsid w:val="00AE3C15"/>
    <w:rsid w:val="00AE559D"/>
    <w:rsid w:val="00AF1925"/>
    <w:rsid w:val="00AF29EA"/>
    <w:rsid w:val="00AF2D52"/>
    <w:rsid w:val="00AF7BD4"/>
    <w:rsid w:val="00B06C41"/>
    <w:rsid w:val="00B071AF"/>
    <w:rsid w:val="00B07A5A"/>
    <w:rsid w:val="00B12196"/>
    <w:rsid w:val="00B1535F"/>
    <w:rsid w:val="00B174BA"/>
    <w:rsid w:val="00B265FF"/>
    <w:rsid w:val="00B26FA5"/>
    <w:rsid w:val="00B304ED"/>
    <w:rsid w:val="00B30CD4"/>
    <w:rsid w:val="00B31B97"/>
    <w:rsid w:val="00B3372F"/>
    <w:rsid w:val="00B42176"/>
    <w:rsid w:val="00B42908"/>
    <w:rsid w:val="00B44A0C"/>
    <w:rsid w:val="00B50EC2"/>
    <w:rsid w:val="00B56BC4"/>
    <w:rsid w:val="00B6240B"/>
    <w:rsid w:val="00B62997"/>
    <w:rsid w:val="00B74620"/>
    <w:rsid w:val="00B754B2"/>
    <w:rsid w:val="00B805E9"/>
    <w:rsid w:val="00B83E7D"/>
    <w:rsid w:val="00B86ED2"/>
    <w:rsid w:val="00B87D10"/>
    <w:rsid w:val="00B950B9"/>
    <w:rsid w:val="00B96CEB"/>
    <w:rsid w:val="00BA1AFB"/>
    <w:rsid w:val="00BA3B3C"/>
    <w:rsid w:val="00BA3B54"/>
    <w:rsid w:val="00BB2F10"/>
    <w:rsid w:val="00BB7815"/>
    <w:rsid w:val="00BB7A89"/>
    <w:rsid w:val="00BC686B"/>
    <w:rsid w:val="00BD17B9"/>
    <w:rsid w:val="00BD6411"/>
    <w:rsid w:val="00BD6E9E"/>
    <w:rsid w:val="00BF06FC"/>
    <w:rsid w:val="00C032AC"/>
    <w:rsid w:val="00C047BE"/>
    <w:rsid w:val="00C052B0"/>
    <w:rsid w:val="00C052DF"/>
    <w:rsid w:val="00C117E7"/>
    <w:rsid w:val="00C22167"/>
    <w:rsid w:val="00C231D9"/>
    <w:rsid w:val="00C231DD"/>
    <w:rsid w:val="00C26104"/>
    <w:rsid w:val="00C33A27"/>
    <w:rsid w:val="00C43729"/>
    <w:rsid w:val="00C449C5"/>
    <w:rsid w:val="00C5512F"/>
    <w:rsid w:val="00C55EBD"/>
    <w:rsid w:val="00C56402"/>
    <w:rsid w:val="00C6014F"/>
    <w:rsid w:val="00C622C8"/>
    <w:rsid w:val="00C64973"/>
    <w:rsid w:val="00C65351"/>
    <w:rsid w:val="00C6656F"/>
    <w:rsid w:val="00C66B51"/>
    <w:rsid w:val="00C75C94"/>
    <w:rsid w:val="00C77B7C"/>
    <w:rsid w:val="00C845A3"/>
    <w:rsid w:val="00C85CAC"/>
    <w:rsid w:val="00C90CB6"/>
    <w:rsid w:val="00C96344"/>
    <w:rsid w:val="00CA0197"/>
    <w:rsid w:val="00CA09FB"/>
    <w:rsid w:val="00CA174B"/>
    <w:rsid w:val="00CA2515"/>
    <w:rsid w:val="00CA5E27"/>
    <w:rsid w:val="00CB1A95"/>
    <w:rsid w:val="00CB1F33"/>
    <w:rsid w:val="00CB3B69"/>
    <w:rsid w:val="00CC278E"/>
    <w:rsid w:val="00CC611E"/>
    <w:rsid w:val="00CD1810"/>
    <w:rsid w:val="00CD3463"/>
    <w:rsid w:val="00CE4241"/>
    <w:rsid w:val="00CF0EEB"/>
    <w:rsid w:val="00CF133C"/>
    <w:rsid w:val="00CF17CD"/>
    <w:rsid w:val="00CF26D6"/>
    <w:rsid w:val="00CF5685"/>
    <w:rsid w:val="00D063FD"/>
    <w:rsid w:val="00D06A73"/>
    <w:rsid w:val="00D11C60"/>
    <w:rsid w:val="00D12D33"/>
    <w:rsid w:val="00D15078"/>
    <w:rsid w:val="00D16B85"/>
    <w:rsid w:val="00D1782F"/>
    <w:rsid w:val="00D20352"/>
    <w:rsid w:val="00D2291D"/>
    <w:rsid w:val="00D2526E"/>
    <w:rsid w:val="00D26294"/>
    <w:rsid w:val="00D3133C"/>
    <w:rsid w:val="00D31BC2"/>
    <w:rsid w:val="00D31C29"/>
    <w:rsid w:val="00D336F2"/>
    <w:rsid w:val="00D352A7"/>
    <w:rsid w:val="00D3541B"/>
    <w:rsid w:val="00D374E2"/>
    <w:rsid w:val="00D40203"/>
    <w:rsid w:val="00D46274"/>
    <w:rsid w:val="00D521F0"/>
    <w:rsid w:val="00D5324E"/>
    <w:rsid w:val="00D569B3"/>
    <w:rsid w:val="00D606A5"/>
    <w:rsid w:val="00D6593A"/>
    <w:rsid w:val="00D65AC5"/>
    <w:rsid w:val="00D6699B"/>
    <w:rsid w:val="00D67722"/>
    <w:rsid w:val="00D7137A"/>
    <w:rsid w:val="00D73213"/>
    <w:rsid w:val="00D758AC"/>
    <w:rsid w:val="00D765B3"/>
    <w:rsid w:val="00D91331"/>
    <w:rsid w:val="00D917DB"/>
    <w:rsid w:val="00DB07F2"/>
    <w:rsid w:val="00DB3EA7"/>
    <w:rsid w:val="00DC253A"/>
    <w:rsid w:val="00DC7E7B"/>
    <w:rsid w:val="00DC7EDA"/>
    <w:rsid w:val="00DD30A1"/>
    <w:rsid w:val="00DD7652"/>
    <w:rsid w:val="00DE15B9"/>
    <w:rsid w:val="00DE58A4"/>
    <w:rsid w:val="00DE7DA0"/>
    <w:rsid w:val="00DF1AEA"/>
    <w:rsid w:val="00DF1BA5"/>
    <w:rsid w:val="00DF270D"/>
    <w:rsid w:val="00DF3662"/>
    <w:rsid w:val="00DF41C2"/>
    <w:rsid w:val="00DF5EF7"/>
    <w:rsid w:val="00DF7826"/>
    <w:rsid w:val="00DF7DD3"/>
    <w:rsid w:val="00E00317"/>
    <w:rsid w:val="00E01DB3"/>
    <w:rsid w:val="00E07BB9"/>
    <w:rsid w:val="00E10016"/>
    <w:rsid w:val="00E135E9"/>
    <w:rsid w:val="00E178CE"/>
    <w:rsid w:val="00E21184"/>
    <w:rsid w:val="00E21A59"/>
    <w:rsid w:val="00E23D59"/>
    <w:rsid w:val="00E3499D"/>
    <w:rsid w:val="00E34FB8"/>
    <w:rsid w:val="00E3503E"/>
    <w:rsid w:val="00E3589D"/>
    <w:rsid w:val="00E40F86"/>
    <w:rsid w:val="00E42405"/>
    <w:rsid w:val="00E43879"/>
    <w:rsid w:val="00E45FEC"/>
    <w:rsid w:val="00E5334B"/>
    <w:rsid w:val="00E577C8"/>
    <w:rsid w:val="00E6159D"/>
    <w:rsid w:val="00E62ACB"/>
    <w:rsid w:val="00E63637"/>
    <w:rsid w:val="00E67720"/>
    <w:rsid w:val="00E7092F"/>
    <w:rsid w:val="00E73334"/>
    <w:rsid w:val="00E76CA0"/>
    <w:rsid w:val="00E847AD"/>
    <w:rsid w:val="00E91A3A"/>
    <w:rsid w:val="00E97232"/>
    <w:rsid w:val="00E97F33"/>
    <w:rsid w:val="00EA3781"/>
    <w:rsid w:val="00EA3BB3"/>
    <w:rsid w:val="00EB01FE"/>
    <w:rsid w:val="00EB2C95"/>
    <w:rsid w:val="00EB709B"/>
    <w:rsid w:val="00EC056D"/>
    <w:rsid w:val="00EC1745"/>
    <w:rsid w:val="00EC5880"/>
    <w:rsid w:val="00ED2596"/>
    <w:rsid w:val="00ED5512"/>
    <w:rsid w:val="00EE28EA"/>
    <w:rsid w:val="00EE5E27"/>
    <w:rsid w:val="00EF1378"/>
    <w:rsid w:val="00EF18CA"/>
    <w:rsid w:val="00EF6EEF"/>
    <w:rsid w:val="00EF73EE"/>
    <w:rsid w:val="00F01A88"/>
    <w:rsid w:val="00F0243B"/>
    <w:rsid w:val="00F02F92"/>
    <w:rsid w:val="00F03733"/>
    <w:rsid w:val="00F04E4A"/>
    <w:rsid w:val="00F04F95"/>
    <w:rsid w:val="00F10EE7"/>
    <w:rsid w:val="00F13BF6"/>
    <w:rsid w:val="00F154D3"/>
    <w:rsid w:val="00F15A3D"/>
    <w:rsid w:val="00F17F05"/>
    <w:rsid w:val="00F22662"/>
    <w:rsid w:val="00F23D47"/>
    <w:rsid w:val="00F30408"/>
    <w:rsid w:val="00F3130D"/>
    <w:rsid w:val="00F32ECC"/>
    <w:rsid w:val="00F33A85"/>
    <w:rsid w:val="00F340DC"/>
    <w:rsid w:val="00F4322F"/>
    <w:rsid w:val="00F435B2"/>
    <w:rsid w:val="00F446F2"/>
    <w:rsid w:val="00F44C98"/>
    <w:rsid w:val="00F44FF7"/>
    <w:rsid w:val="00F45FF7"/>
    <w:rsid w:val="00F46ACB"/>
    <w:rsid w:val="00F47CCD"/>
    <w:rsid w:val="00F50257"/>
    <w:rsid w:val="00F51217"/>
    <w:rsid w:val="00F521A5"/>
    <w:rsid w:val="00F53715"/>
    <w:rsid w:val="00F550FC"/>
    <w:rsid w:val="00F55566"/>
    <w:rsid w:val="00F55757"/>
    <w:rsid w:val="00F5667C"/>
    <w:rsid w:val="00F61657"/>
    <w:rsid w:val="00F63272"/>
    <w:rsid w:val="00F716C8"/>
    <w:rsid w:val="00F72E77"/>
    <w:rsid w:val="00F80572"/>
    <w:rsid w:val="00F811AE"/>
    <w:rsid w:val="00F81D77"/>
    <w:rsid w:val="00F8287C"/>
    <w:rsid w:val="00F85845"/>
    <w:rsid w:val="00F86B93"/>
    <w:rsid w:val="00FA2338"/>
    <w:rsid w:val="00FA3FE3"/>
    <w:rsid w:val="00FB4010"/>
    <w:rsid w:val="00FB4683"/>
    <w:rsid w:val="00FB5641"/>
    <w:rsid w:val="00FC0519"/>
    <w:rsid w:val="00FC6ABC"/>
    <w:rsid w:val="00FD12AC"/>
    <w:rsid w:val="00FD27DC"/>
    <w:rsid w:val="00FD3475"/>
    <w:rsid w:val="00FF246E"/>
    <w:rsid w:val="00FF27D2"/>
    <w:rsid w:val="01309EA4"/>
    <w:rsid w:val="019B51DD"/>
    <w:rsid w:val="01A63B2E"/>
    <w:rsid w:val="01E1AE6B"/>
    <w:rsid w:val="02113F33"/>
    <w:rsid w:val="022AD0DE"/>
    <w:rsid w:val="022C9C59"/>
    <w:rsid w:val="0249A6A0"/>
    <w:rsid w:val="02563622"/>
    <w:rsid w:val="02C6D5FD"/>
    <w:rsid w:val="02C82A93"/>
    <w:rsid w:val="02EA695A"/>
    <w:rsid w:val="03901197"/>
    <w:rsid w:val="03904688"/>
    <w:rsid w:val="04FA4733"/>
    <w:rsid w:val="05128650"/>
    <w:rsid w:val="0525FD37"/>
    <w:rsid w:val="053D0DF1"/>
    <w:rsid w:val="065F8AAB"/>
    <w:rsid w:val="07F7D069"/>
    <w:rsid w:val="084AEC31"/>
    <w:rsid w:val="086025A1"/>
    <w:rsid w:val="089E28C2"/>
    <w:rsid w:val="08B4FB53"/>
    <w:rsid w:val="08C757EC"/>
    <w:rsid w:val="0A0CA9D8"/>
    <w:rsid w:val="0A6EC739"/>
    <w:rsid w:val="0A6F5BB0"/>
    <w:rsid w:val="0B04CF52"/>
    <w:rsid w:val="0B0CFF22"/>
    <w:rsid w:val="0D1DBC06"/>
    <w:rsid w:val="0D2C2D34"/>
    <w:rsid w:val="0D715EC9"/>
    <w:rsid w:val="0D74D71B"/>
    <w:rsid w:val="0DA664FA"/>
    <w:rsid w:val="0DAC6A8A"/>
    <w:rsid w:val="0DB966D9"/>
    <w:rsid w:val="0E6F30A9"/>
    <w:rsid w:val="0E9AA216"/>
    <w:rsid w:val="0FB076C9"/>
    <w:rsid w:val="10585BD9"/>
    <w:rsid w:val="10AF6D33"/>
    <w:rsid w:val="10F8148E"/>
    <w:rsid w:val="1128BE27"/>
    <w:rsid w:val="113E5B6D"/>
    <w:rsid w:val="11753CFA"/>
    <w:rsid w:val="118DF51D"/>
    <w:rsid w:val="11D5E4EA"/>
    <w:rsid w:val="11E912D9"/>
    <w:rsid w:val="120F36FE"/>
    <w:rsid w:val="123F08F2"/>
    <w:rsid w:val="128A5F54"/>
    <w:rsid w:val="12938ABC"/>
    <w:rsid w:val="12B4467F"/>
    <w:rsid w:val="12EE903F"/>
    <w:rsid w:val="134F13DE"/>
    <w:rsid w:val="1360D317"/>
    <w:rsid w:val="1392DAA0"/>
    <w:rsid w:val="13AC3894"/>
    <w:rsid w:val="13B7C56C"/>
    <w:rsid w:val="13B9FDE5"/>
    <w:rsid w:val="13C13D4F"/>
    <w:rsid w:val="13FAA107"/>
    <w:rsid w:val="14673849"/>
    <w:rsid w:val="14D27F74"/>
    <w:rsid w:val="14D6F2D2"/>
    <w:rsid w:val="155D0DB0"/>
    <w:rsid w:val="156DE1B1"/>
    <w:rsid w:val="158B8EED"/>
    <w:rsid w:val="15947B95"/>
    <w:rsid w:val="15FFB2D3"/>
    <w:rsid w:val="16169874"/>
    <w:rsid w:val="16306B26"/>
    <w:rsid w:val="16412639"/>
    <w:rsid w:val="167825EC"/>
    <w:rsid w:val="16861D28"/>
    <w:rsid w:val="16F507C5"/>
    <w:rsid w:val="1713A789"/>
    <w:rsid w:val="173E891E"/>
    <w:rsid w:val="1774BCB3"/>
    <w:rsid w:val="17C97607"/>
    <w:rsid w:val="17F2BD87"/>
    <w:rsid w:val="18A4EAFB"/>
    <w:rsid w:val="18B4742B"/>
    <w:rsid w:val="18BFC489"/>
    <w:rsid w:val="18FEB32E"/>
    <w:rsid w:val="1919B9D4"/>
    <w:rsid w:val="191E6750"/>
    <w:rsid w:val="19D26D60"/>
    <w:rsid w:val="19F4D401"/>
    <w:rsid w:val="1A0E3B1D"/>
    <w:rsid w:val="1BC65AE7"/>
    <w:rsid w:val="1C1079AB"/>
    <w:rsid w:val="1C1E054A"/>
    <w:rsid w:val="1C287318"/>
    <w:rsid w:val="1C32F283"/>
    <w:rsid w:val="1D6CF179"/>
    <w:rsid w:val="1E06DC1B"/>
    <w:rsid w:val="1E24D8E7"/>
    <w:rsid w:val="1E3DC6E5"/>
    <w:rsid w:val="1E612F5D"/>
    <w:rsid w:val="1E682502"/>
    <w:rsid w:val="1E750AE5"/>
    <w:rsid w:val="1EAC4043"/>
    <w:rsid w:val="1ED64D3A"/>
    <w:rsid w:val="1EE4D479"/>
    <w:rsid w:val="1F35A179"/>
    <w:rsid w:val="1F437313"/>
    <w:rsid w:val="1F6DF4B2"/>
    <w:rsid w:val="1FA2F932"/>
    <w:rsid w:val="1FCD8524"/>
    <w:rsid w:val="1FD048D0"/>
    <w:rsid w:val="2005F639"/>
    <w:rsid w:val="2053791E"/>
    <w:rsid w:val="206AA14A"/>
    <w:rsid w:val="208F9155"/>
    <w:rsid w:val="20CA10C6"/>
    <w:rsid w:val="21B446E4"/>
    <w:rsid w:val="21C7A0DF"/>
    <w:rsid w:val="2217610E"/>
    <w:rsid w:val="2229CCE3"/>
    <w:rsid w:val="2240091F"/>
    <w:rsid w:val="226D11BD"/>
    <w:rsid w:val="234B3235"/>
    <w:rsid w:val="24A5A0AC"/>
    <w:rsid w:val="24CD5C7D"/>
    <w:rsid w:val="253D4824"/>
    <w:rsid w:val="25525F12"/>
    <w:rsid w:val="25A8B908"/>
    <w:rsid w:val="266E51B2"/>
    <w:rsid w:val="26770CDC"/>
    <w:rsid w:val="2680296B"/>
    <w:rsid w:val="26ABB65C"/>
    <w:rsid w:val="26B509AF"/>
    <w:rsid w:val="26BBBE0D"/>
    <w:rsid w:val="26F360D6"/>
    <w:rsid w:val="27B1A7B8"/>
    <w:rsid w:val="27B586D5"/>
    <w:rsid w:val="27EA6390"/>
    <w:rsid w:val="2802C4CE"/>
    <w:rsid w:val="280C77C1"/>
    <w:rsid w:val="285A12F4"/>
    <w:rsid w:val="292F2FC4"/>
    <w:rsid w:val="2995965A"/>
    <w:rsid w:val="2A17E3FD"/>
    <w:rsid w:val="2A3DB6C9"/>
    <w:rsid w:val="2AF3397D"/>
    <w:rsid w:val="2B1C7A54"/>
    <w:rsid w:val="2B55F04F"/>
    <w:rsid w:val="2B6663C9"/>
    <w:rsid w:val="2B69DAC8"/>
    <w:rsid w:val="2B8C70DF"/>
    <w:rsid w:val="2B8E7593"/>
    <w:rsid w:val="2BF03385"/>
    <w:rsid w:val="2C09D413"/>
    <w:rsid w:val="2C3612DF"/>
    <w:rsid w:val="2CD635F1"/>
    <w:rsid w:val="2D4E4E56"/>
    <w:rsid w:val="2DBBD70E"/>
    <w:rsid w:val="2DE5D819"/>
    <w:rsid w:val="2E161310"/>
    <w:rsid w:val="2E24BB07"/>
    <w:rsid w:val="2F401EA7"/>
    <w:rsid w:val="2F73A0EB"/>
    <w:rsid w:val="2F7C4629"/>
    <w:rsid w:val="2FA22B9D"/>
    <w:rsid w:val="2FD88A0E"/>
    <w:rsid w:val="2FF4B891"/>
    <w:rsid w:val="2FF58716"/>
    <w:rsid w:val="3006B147"/>
    <w:rsid w:val="3099A536"/>
    <w:rsid w:val="30D1D673"/>
    <w:rsid w:val="317A0D05"/>
    <w:rsid w:val="3188A15A"/>
    <w:rsid w:val="318ACC0C"/>
    <w:rsid w:val="31F3B2D7"/>
    <w:rsid w:val="32657E12"/>
    <w:rsid w:val="327C604A"/>
    <w:rsid w:val="327EA056"/>
    <w:rsid w:val="32BDD18C"/>
    <w:rsid w:val="336DEF5E"/>
    <w:rsid w:val="336EF1E0"/>
    <w:rsid w:val="3427C996"/>
    <w:rsid w:val="34499EC1"/>
    <w:rsid w:val="3460F15E"/>
    <w:rsid w:val="34A4F135"/>
    <w:rsid w:val="34F5D938"/>
    <w:rsid w:val="355A732C"/>
    <w:rsid w:val="35A2B7AF"/>
    <w:rsid w:val="361C7A17"/>
    <w:rsid w:val="36DB0C1D"/>
    <w:rsid w:val="3727292A"/>
    <w:rsid w:val="37A2BF44"/>
    <w:rsid w:val="38018474"/>
    <w:rsid w:val="382E81F6"/>
    <w:rsid w:val="3834EBF3"/>
    <w:rsid w:val="386C9C34"/>
    <w:rsid w:val="38DC83B1"/>
    <w:rsid w:val="39098114"/>
    <w:rsid w:val="39165E7E"/>
    <w:rsid w:val="39F2548F"/>
    <w:rsid w:val="3B2E89E8"/>
    <w:rsid w:val="3B3F4E83"/>
    <w:rsid w:val="3C19738F"/>
    <w:rsid w:val="3C5883EA"/>
    <w:rsid w:val="3C73F087"/>
    <w:rsid w:val="3CFB9121"/>
    <w:rsid w:val="3D303632"/>
    <w:rsid w:val="3D46EA08"/>
    <w:rsid w:val="3DA9AA52"/>
    <w:rsid w:val="3DB6D249"/>
    <w:rsid w:val="3E6F8165"/>
    <w:rsid w:val="3E73C05F"/>
    <w:rsid w:val="3E9F0129"/>
    <w:rsid w:val="3EF1FA44"/>
    <w:rsid w:val="3F4FD00D"/>
    <w:rsid w:val="3F7A4DE3"/>
    <w:rsid w:val="3FBC7C03"/>
    <w:rsid w:val="4000C982"/>
    <w:rsid w:val="40B2326D"/>
    <w:rsid w:val="40BB32AA"/>
    <w:rsid w:val="40EC33D1"/>
    <w:rsid w:val="411D712A"/>
    <w:rsid w:val="41364BBA"/>
    <w:rsid w:val="41370B55"/>
    <w:rsid w:val="41463B1D"/>
    <w:rsid w:val="420F855F"/>
    <w:rsid w:val="4250CA46"/>
    <w:rsid w:val="42C3DF8A"/>
    <w:rsid w:val="4344BA2E"/>
    <w:rsid w:val="43B8BA11"/>
    <w:rsid w:val="443635D5"/>
    <w:rsid w:val="444B04EA"/>
    <w:rsid w:val="44B09D4C"/>
    <w:rsid w:val="44E49D32"/>
    <w:rsid w:val="45C3B8AF"/>
    <w:rsid w:val="45E04D52"/>
    <w:rsid w:val="4603F571"/>
    <w:rsid w:val="46084FD5"/>
    <w:rsid w:val="46428069"/>
    <w:rsid w:val="46621808"/>
    <w:rsid w:val="46805656"/>
    <w:rsid w:val="468FBCAD"/>
    <w:rsid w:val="4767A9B6"/>
    <w:rsid w:val="476F466B"/>
    <w:rsid w:val="47F7A3D8"/>
    <w:rsid w:val="47FFE17E"/>
    <w:rsid w:val="482A8382"/>
    <w:rsid w:val="4861B630"/>
    <w:rsid w:val="4886C727"/>
    <w:rsid w:val="48ADB28A"/>
    <w:rsid w:val="48B89599"/>
    <w:rsid w:val="49275FB2"/>
    <w:rsid w:val="49D18D97"/>
    <w:rsid w:val="4A5FD7F2"/>
    <w:rsid w:val="4A849218"/>
    <w:rsid w:val="4AAD64DF"/>
    <w:rsid w:val="4BABB5F1"/>
    <w:rsid w:val="4BAD2CE3"/>
    <w:rsid w:val="4BF27973"/>
    <w:rsid w:val="4CBD2481"/>
    <w:rsid w:val="4D64B788"/>
    <w:rsid w:val="4DAE5202"/>
    <w:rsid w:val="4E1D2641"/>
    <w:rsid w:val="4EC9B5A2"/>
    <w:rsid w:val="4ED57B3C"/>
    <w:rsid w:val="4F019828"/>
    <w:rsid w:val="4F6874C4"/>
    <w:rsid w:val="5176D10E"/>
    <w:rsid w:val="51D5B906"/>
    <w:rsid w:val="5221F543"/>
    <w:rsid w:val="526E6DBA"/>
    <w:rsid w:val="5310B21D"/>
    <w:rsid w:val="535405FB"/>
    <w:rsid w:val="53AE25E9"/>
    <w:rsid w:val="53E32A1C"/>
    <w:rsid w:val="5403DF52"/>
    <w:rsid w:val="540AEF80"/>
    <w:rsid w:val="540B2793"/>
    <w:rsid w:val="541FB3DB"/>
    <w:rsid w:val="5495E0EB"/>
    <w:rsid w:val="54DFA54C"/>
    <w:rsid w:val="54FD3A0B"/>
    <w:rsid w:val="558A0885"/>
    <w:rsid w:val="55BC38F4"/>
    <w:rsid w:val="55C32893"/>
    <w:rsid w:val="55E932E8"/>
    <w:rsid w:val="55EE2DF8"/>
    <w:rsid w:val="579276FD"/>
    <w:rsid w:val="57959ADA"/>
    <w:rsid w:val="57B18D2C"/>
    <w:rsid w:val="58FE1C86"/>
    <w:rsid w:val="5935D33B"/>
    <w:rsid w:val="5A38B73C"/>
    <w:rsid w:val="5A6835CC"/>
    <w:rsid w:val="5AC613CE"/>
    <w:rsid w:val="5AD33963"/>
    <w:rsid w:val="5CD08103"/>
    <w:rsid w:val="5D23C27B"/>
    <w:rsid w:val="5E3FD44C"/>
    <w:rsid w:val="5E42617A"/>
    <w:rsid w:val="5E9353DA"/>
    <w:rsid w:val="5EBEBAEC"/>
    <w:rsid w:val="5F0845F4"/>
    <w:rsid w:val="5F4D1CD1"/>
    <w:rsid w:val="5F7DD16F"/>
    <w:rsid w:val="605C5719"/>
    <w:rsid w:val="605FC5A6"/>
    <w:rsid w:val="610339CB"/>
    <w:rsid w:val="617F9DD6"/>
    <w:rsid w:val="61D30847"/>
    <w:rsid w:val="622048FF"/>
    <w:rsid w:val="627A8C42"/>
    <w:rsid w:val="6283AA2F"/>
    <w:rsid w:val="62D6BAFC"/>
    <w:rsid w:val="6350363F"/>
    <w:rsid w:val="63BD9E9B"/>
    <w:rsid w:val="64D61178"/>
    <w:rsid w:val="6590A1AE"/>
    <w:rsid w:val="68084C04"/>
    <w:rsid w:val="689BF298"/>
    <w:rsid w:val="68A3793D"/>
    <w:rsid w:val="68CE3F05"/>
    <w:rsid w:val="68DEAA17"/>
    <w:rsid w:val="691E43DB"/>
    <w:rsid w:val="69615FA5"/>
    <w:rsid w:val="699C34A2"/>
    <w:rsid w:val="6ABC7261"/>
    <w:rsid w:val="6B4289C7"/>
    <w:rsid w:val="6B760B86"/>
    <w:rsid w:val="6B8E04F3"/>
    <w:rsid w:val="6BD72259"/>
    <w:rsid w:val="6C0593B7"/>
    <w:rsid w:val="6C7975B9"/>
    <w:rsid w:val="6C7E9FCC"/>
    <w:rsid w:val="6D93DF69"/>
    <w:rsid w:val="6DA9AA9D"/>
    <w:rsid w:val="6DBB4B16"/>
    <w:rsid w:val="6E534ECC"/>
    <w:rsid w:val="6E57B2A9"/>
    <w:rsid w:val="6E8E8F9E"/>
    <w:rsid w:val="6FA63E45"/>
    <w:rsid w:val="6FE28E83"/>
    <w:rsid w:val="6FEF1F2D"/>
    <w:rsid w:val="701D8BCF"/>
    <w:rsid w:val="7086EBB4"/>
    <w:rsid w:val="70DD2A25"/>
    <w:rsid w:val="71F51E01"/>
    <w:rsid w:val="721E05ED"/>
    <w:rsid w:val="7252CAF4"/>
    <w:rsid w:val="72FA23E8"/>
    <w:rsid w:val="731BF0CA"/>
    <w:rsid w:val="736F8EDD"/>
    <w:rsid w:val="73DC4C86"/>
    <w:rsid w:val="7418EC21"/>
    <w:rsid w:val="7448CBFA"/>
    <w:rsid w:val="74609AFF"/>
    <w:rsid w:val="74B0480A"/>
    <w:rsid w:val="74FAF236"/>
    <w:rsid w:val="754E24E7"/>
    <w:rsid w:val="756BC6D0"/>
    <w:rsid w:val="75A31ED0"/>
    <w:rsid w:val="76384B66"/>
    <w:rsid w:val="763C0CFE"/>
    <w:rsid w:val="7641AF55"/>
    <w:rsid w:val="7651EE62"/>
    <w:rsid w:val="766D24AD"/>
    <w:rsid w:val="76AAC682"/>
    <w:rsid w:val="7737A6D2"/>
    <w:rsid w:val="7768F7BF"/>
    <w:rsid w:val="7772E34F"/>
    <w:rsid w:val="77C65C86"/>
    <w:rsid w:val="77E7F6F2"/>
    <w:rsid w:val="780AB935"/>
    <w:rsid w:val="787EF3C2"/>
    <w:rsid w:val="78D1684C"/>
    <w:rsid w:val="78D57612"/>
    <w:rsid w:val="78FA0FA7"/>
    <w:rsid w:val="7949345D"/>
    <w:rsid w:val="7958311E"/>
    <w:rsid w:val="795F6522"/>
    <w:rsid w:val="79D9979C"/>
    <w:rsid w:val="7A4825BC"/>
    <w:rsid w:val="7A837895"/>
    <w:rsid w:val="7BE0AB9D"/>
    <w:rsid w:val="7C4F0C56"/>
    <w:rsid w:val="7C875FF9"/>
    <w:rsid w:val="7CD39453"/>
    <w:rsid w:val="7CDDA58D"/>
    <w:rsid w:val="7CE2D2BC"/>
    <w:rsid w:val="7D1C905A"/>
    <w:rsid w:val="7D7A1CC3"/>
    <w:rsid w:val="7E40D5CA"/>
    <w:rsid w:val="7E92EECA"/>
    <w:rsid w:val="7F161458"/>
    <w:rsid w:val="7F240115"/>
    <w:rsid w:val="7F69AE7C"/>
    <w:rsid w:val="7F7EAF6A"/>
    <w:rsid w:val="7FF042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A59D"/>
  <w15:chartTrackingRefBased/>
  <w15:docId w15:val="{BC9C2CCE-0E47-4B59-AF87-8BCB5C2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97"/>
    <w:pPr>
      <w:jc w:val="both"/>
    </w:pPr>
    <w:rPr>
      <w:rFonts w:ascii="Aptos Light" w:hAnsi="Aptos Light" w:cs="Arial (Cuerpo en alfabeto compl"/>
      <w:color w:val="404040" w:themeColor="text1" w:themeTint="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246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4F2CFA"/>
    <w:pPr>
      <w:tabs>
        <w:tab w:val="center" w:pos="4419"/>
        <w:tab w:val="right" w:pos="8838"/>
      </w:tabs>
    </w:pPr>
  </w:style>
  <w:style w:type="character" w:customStyle="1" w:styleId="EncabezadoCar">
    <w:name w:val="Encabezado Car"/>
    <w:basedOn w:val="Fuentedeprrafopredeter"/>
    <w:link w:val="Encabezado"/>
    <w:uiPriority w:val="99"/>
    <w:rsid w:val="004F2CFA"/>
  </w:style>
  <w:style w:type="paragraph" w:styleId="Piedepgina">
    <w:name w:val="footer"/>
    <w:basedOn w:val="Normal"/>
    <w:link w:val="PiedepginaCar"/>
    <w:uiPriority w:val="99"/>
    <w:unhideWhenUsed/>
    <w:rsid w:val="004F2CFA"/>
    <w:pPr>
      <w:tabs>
        <w:tab w:val="center" w:pos="4419"/>
        <w:tab w:val="right" w:pos="8838"/>
      </w:tabs>
    </w:pPr>
  </w:style>
  <w:style w:type="character" w:customStyle="1" w:styleId="PiedepginaCar">
    <w:name w:val="Pie de página Car"/>
    <w:basedOn w:val="Fuentedeprrafopredeter"/>
    <w:link w:val="Piedepgina"/>
    <w:uiPriority w:val="99"/>
    <w:rsid w:val="004F2CFA"/>
  </w:style>
  <w:style w:type="table" w:styleId="Tablaconcuadrcula">
    <w:name w:val="Table Grid"/>
    <w:basedOn w:val="Tablanormal"/>
    <w:uiPriority w:val="39"/>
    <w:rsid w:val="00C4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336F2"/>
  </w:style>
  <w:style w:type="paragraph" w:styleId="Prrafodelista">
    <w:name w:val="List Paragraph"/>
    <w:basedOn w:val="Normal"/>
    <w:uiPriority w:val="34"/>
    <w:qFormat/>
    <w:rsid w:val="000D46F6"/>
    <w:pPr>
      <w:ind w:left="720"/>
      <w:contextualSpacing/>
    </w:pPr>
  </w:style>
  <w:style w:type="paragraph" w:styleId="Textodeglobo">
    <w:name w:val="Balloon Text"/>
    <w:basedOn w:val="Normal"/>
    <w:link w:val="TextodegloboCar"/>
    <w:uiPriority w:val="99"/>
    <w:semiHidden/>
    <w:unhideWhenUsed/>
    <w:rsid w:val="009567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7FA"/>
    <w:rPr>
      <w:rFonts w:ascii="Segoe UI" w:hAnsi="Segoe UI" w:cs="Segoe UI"/>
      <w:sz w:val="18"/>
      <w:szCs w:val="18"/>
    </w:rPr>
  </w:style>
  <w:style w:type="character" w:styleId="Refdecomentario">
    <w:name w:val="annotation reference"/>
    <w:basedOn w:val="Fuentedeprrafopredeter"/>
    <w:uiPriority w:val="99"/>
    <w:semiHidden/>
    <w:unhideWhenUsed/>
    <w:rsid w:val="000F4AC3"/>
    <w:rPr>
      <w:sz w:val="16"/>
      <w:szCs w:val="16"/>
    </w:rPr>
  </w:style>
  <w:style w:type="paragraph" w:styleId="Textocomentario">
    <w:name w:val="annotation text"/>
    <w:basedOn w:val="Normal"/>
    <w:link w:val="TextocomentarioCar"/>
    <w:uiPriority w:val="99"/>
    <w:unhideWhenUsed/>
    <w:rsid w:val="000F4AC3"/>
    <w:rPr>
      <w:sz w:val="20"/>
      <w:szCs w:val="20"/>
    </w:rPr>
  </w:style>
  <w:style w:type="character" w:customStyle="1" w:styleId="TextocomentarioCar">
    <w:name w:val="Texto comentario Car"/>
    <w:basedOn w:val="Fuentedeprrafopredeter"/>
    <w:link w:val="Textocomentario"/>
    <w:uiPriority w:val="99"/>
    <w:rsid w:val="000F4AC3"/>
    <w:rPr>
      <w:sz w:val="20"/>
      <w:szCs w:val="20"/>
    </w:rPr>
  </w:style>
  <w:style w:type="paragraph" w:styleId="Asuntodelcomentario">
    <w:name w:val="annotation subject"/>
    <w:basedOn w:val="Textocomentario"/>
    <w:next w:val="Textocomentario"/>
    <w:link w:val="AsuntodelcomentarioCar"/>
    <w:uiPriority w:val="99"/>
    <w:semiHidden/>
    <w:unhideWhenUsed/>
    <w:rsid w:val="000F4AC3"/>
    <w:rPr>
      <w:b/>
      <w:bCs/>
    </w:rPr>
  </w:style>
  <w:style w:type="character" w:customStyle="1" w:styleId="AsuntodelcomentarioCar">
    <w:name w:val="Asunto del comentario Car"/>
    <w:basedOn w:val="TextocomentarioCar"/>
    <w:link w:val="Asuntodelcomentario"/>
    <w:uiPriority w:val="99"/>
    <w:semiHidden/>
    <w:rsid w:val="000F4AC3"/>
    <w:rPr>
      <w:b/>
      <w:bCs/>
      <w:sz w:val="20"/>
      <w:szCs w:val="20"/>
    </w:rPr>
  </w:style>
  <w:style w:type="paragraph" w:styleId="Revisin">
    <w:name w:val="Revision"/>
    <w:hidden/>
    <w:uiPriority w:val="99"/>
    <w:semiHidden/>
    <w:rsid w:val="00F446F2"/>
  </w:style>
  <w:style w:type="character" w:styleId="Mencionar">
    <w:name w:val="Mention"/>
    <w:basedOn w:val="Fuentedeprrafopredeter"/>
    <w:uiPriority w:val="99"/>
    <w:unhideWhenUsed/>
    <w:rsid w:val="00D31BC2"/>
    <w:rPr>
      <w:color w:val="2B579A"/>
      <w:shd w:val="clear" w:color="auto" w:fill="E1DFDD"/>
    </w:rPr>
  </w:style>
  <w:style w:type="character" w:styleId="Mencinsinresolver">
    <w:name w:val="Unresolved Mention"/>
    <w:basedOn w:val="Fuentedeprrafopredeter"/>
    <w:uiPriority w:val="99"/>
    <w:unhideWhenUsed/>
    <w:rsid w:val="0086776C"/>
    <w:rPr>
      <w:color w:val="605E5C"/>
      <w:shd w:val="clear" w:color="auto" w:fill="E1DFDD"/>
    </w:rPr>
  </w:style>
  <w:style w:type="paragraph" w:styleId="Textoindependiente">
    <w:name w:val="Body Text"/>
    <w:basedOn w:val="Normal"/>
    <w:link w:val="TextoindependienteCar"/>
    <w:uiPriority w:val="1"/>
    <w:qFormat/>
    <w:rsid w:val="00C032AC"/>
    <w:pPr>
      <w:widowControl w:val="0"/>
      <w:autoSpaceDE w:val="0"/>
      <w:autoSpaceDN w:val="0"/>
    </w:pPr>
    <w:rPr>
      <w:rFonts w:ascii="Calibri" w:eastAsia="Calibri" w:hAnsi="Calibri" w:cs="Calibri"/>
      <w:szCs w:val="22"/>
      <w:lang w:val="en-US"/>
    </w:rPr>
  </w:style>
  <w:style w:type="character" w:customStyle="1" w:styleId="TextoindependienteCar">
    <w:name w:val="Texto independiente Car"/>
    <w:basedOn w:val="Fuentedeprrafopredeter"/>
    <w:link w:val="Textoindependiente"/>
    <w:uiPriority w:val="1"/>
    <w:rsid w:val="00C032AC"/>
    <w:rPr>
      <w:rFonts w:ascii="Calibri" w:eastAsia="Calibri" w:hAnsi="Calibri" w:cs="Calibri"/>
      <w:sz w:val="22"/>
      <w:szCs w:val="22"/>
      <w:lang w:val="en-US"/>
    </w:rPr>
  </w:style>
  <w:style w:type="character" w:styleId="Hipervnculo">
    <w:name w:val="Hyperlink"/>
    <w:basedOn w:val="Fuentedeprrafopredeter"/>
    <w:uiPriority w:val="99"/>
    <w:unhideWhenUsed/>
    <w:rsid w:val="002A6A9A"/>
    <w:rPr>
      <w:color w:val="002FA7" w:themeColor="hyperlink"/>
      <w:u w:val="single"/>
    </w:rPr>
  </w:style>
  <w:style w:type="character" w:customStyle="1" w:styleId="normaltextrun">
    <w:name w:val="normaltextrun"/>
    <w:basedOn w:val="Fuentedeprrafopredeter"/>
    <w:rsid w:val="00BC686B"/>
  </w:style>
  <w:style w:type="character" w:styleId="Hipervnculovisitado">
    <w:name w:val="FollowedHyperlink"/>
    <w:basedOn w:val="Fuentedeprrafopredeter"/>
    <w:uiPriority w:val="99"/>
    <w:semiHidden/>
    <w:unhideWhenUsed/>
    <w:rsid w:val="00D917DB"/>
    <w:rPr>
      <w:color w:val="002FA7" w:themeColor="followedHyperlink"/>
      <w:u w:val="single"/>
    </w:rPr>
  </w:style>
  <w:style w:type="paragraph" w:styleId="Textonotapie">
    <w:name w:val="footnote text"/>
    <w:basedOn w:val="Normal"/>
    <w:link w:val="TextonotapieCar"/>
    <w:uiPriority w:val="99"/>
    <w:semiHidden/>
    <w:unhideWhenUsed/>
    <w:rsid w:val="00945EA8"/>
    <w:rPr>
      <w:sz w:val="20"/>
      <w:szCs w:val="20"/>
    </w:rPr>
  </w:style>
  <w:style w:type="character" w:customStyle="1" w:styleId="TextonotapieCar">
    <w:name w:val="Texto nota pie Car"/>
    <w:basedOn w:val="Fuentedeprrafopredeter"/>
    <w:link w:val="Textonotapie"/>
    <w:uiPriority w:val="99"/>
    <w:semiHidden/>
    <w:rsid w:val="00945EA8"/>
    <w:rPr>
      <w:rFonts w:ascii="Aptos Light" w:hAnsi="Aptos Light" w:cs="Arial (Cuerpo en alfabeto compl"/>
      <w:color w:val="404040" w:themeColor="text1" w:themeTint="BF"/>
      <w:sz w:val="20"/>
      <w:szCs w:val="20"/>
    </w:rPr>
  </w:style>
  <w:style w:type="character" w:styleId="Refdenotaalpie">
    <w:name w:val="footnote reference"/>
    <w:basedOn w:val="Fuentedeprrafopredeter"/>
    <w:uiPriority w:val="99"/>
    <w:semiHidden/>
    <w:unhideWhenUsed/>
    <w:rsid w:val="00945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6073">
      <w:bodyDiv w:val="1"/>
      <w:marLeft w:val="0"/>
      <w:marRight w:val="0"/>
      <w:marTop w:val="0"/>
      <w:marBottom w:val="0"/>
      <w:divBdr>
        <w:top w:val="none" w:sz="0" w:space="0" w:color="auto"/>
        <w:left w:val="none" w:sz="0" w:space="0" w:color="auto"/>
        <w:bottom w:val="none" w:sz="0" w:space="0" w:color="auto"/>
        <w:right w:val="none" w:sz="0" w:space="0" w:color="auto"/>
      </w:divBdr>
    </w:div>
    <w:div w:id="999582182">
      <w:bodyDiv w:val="1"/>
      <w:marLeft w:val="0"/>
      <w:marRight w:val="0"/>
      <w:marTop w:val="0"/>
      <w:marBottom w:val="0"/>
      <w:divBdr>
        <w:top w:val="none" w:sz="0" w:space="0" w:color="auto"/>
        <w:left w:val="none" w:sz="0" w:space="0" w:color="auto"/>
        <w:bottom w:val="none" w:sz="0" w:space="0" w:color="auto"/>
        <w:right w:val="none" w:sz="0" w:space="0" w:color="auto"/>
      </w:divBdr>
      <w:divsChild>
        <w:div w:id="372310418">
          <w:marLeft w:val="0"/>
          <w:marRight w:val="0"/>
          <w:marTop w:val="0"/>
          <w:marBottom w:val="0"/>
          <w:divBdr>
            <w:top w:val="none" w:sz="0" w:space="0" w:color="auto"/>
            <w:left w:val="none" w:sz="0" w:space="0" w:color="auto"/>
            <w:bottom w:val="none" w:sz="0" w:space="0" w:color="auto"/>
            <w:right w:val="none" w:sz="0" w:space="0" w:color="auto"/>
          </w:divBdr>
        </w:div>
      </w:divsChild>
    </w:div>
    <w:div w:id="1603495996">
      <w:bodyDiv w:val="1"/>
      <w:marLeft w:val="0"/>
      <w:marRight w:val="0"/>
      <w:marTop w:val="0"/>
      <w:marBottom w:val="0"/>
      <w:divBdr>
        <w:top w:val="none" w:sz="0" w:space="0" w:color="auto"/>
        <w:left w:val="none" w:sz="0" w:space="0" w:color="auto"/>
        <w:bottom w:val="none" w:sz="0" w:space="0" w:color="auto"/>
        <w:right w:val="none" w:sz="0" w:space="0" w:color="auto"/>
      </w:divBdr>
      <w:divsChild>
        <w:div w:id="165479070">
          <w:marLeft w:val="0"/>
          <w:marRight w:val="0"/>
          <w:marTop w:val="0"/>
          <w:marBottom w:val="0"/>
          <w:divBdr>
            <w:top w:val="none" w:sz="0" w:space="0" w:color="auto"/>
            <w:left w:val="none" w:sz="0" w:space="0" w:color="auto"/>
            <w:bottom w:val="none" w:sz="0" w:space="0" w:color="auto"/>
            <w:right w:val="none" w:sz="0" w:space="0" w:color="auto"/>
          </w:divBdr>
        </w:div>
      </w:divsChild>
    </w:div>
    <w:div w:id="1895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compass.com/es/chile/fondos-asset-management/multiactivos-multiactivos/multiactivos/fondo-mutuo-compass-equilibr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VINCI COMPASS">
      <a:dk1>
        <a:srgbClr val="000000"/>
      </a:dk1>
      <a:lt1>
        <a:srgbClr val="FFFFFF"/>
      </a:lt1>
      <a:dk2>
        <a:srgbClr val="00AEEF"/>
      </a:dk2>
      <a:lt2>
        <a:srgbClr val="002FA7"/>
      </a:lt2>
      <a:accent1>
        <a:srgbClr val="0D61E6"/>
      </a:accent1>
      <a:accent2>
        <a:srgbClr val="015C83"/>
      </a:accent2>
      <a:accent3>
        <a:srgbClr val="38A888"/>
      </a:accent3>
      <a:accent4>
        <a:srgbClr val="69BF49"/>
      </a:accent4>
      <a:accent5>
        <a:srgbClr val="8683A3"/>
      </a:accent5>
      <a:accent6>
        <a:srgbClr val="8B3C67"/>
      </a:accent6>
      <a:hlink>
        <a:srgbClr val="002FA7"/>
      </a:hlink>
      <a:folHlink>
        <a:srgbClr val="002F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43DEB8FF1BEC34FA18EE4B8CC111980" ma:contentTypeVersion="18" ma:contentTypeDescription="Crear nuevo documento." ma:contentTypeScope="" ma:versionID="39e77c8ffc16fb4a09ae174f754af71f">
  <xsd:schema xmlns:xsd="http://www.w3.org/2001/XMLSchema" xmlns:xs="http://www.w3.org/2001/XMLSchema" xmlns:p="http://schemas.microsoft.com/office/2006/metadata/properties" xmlns:ns2="24cef8f4-f3bd-4b96-93c8-74ab1f9c1b5b" xmlns:ns3="bd90a3d6-a44c-409d-a43f-03274dea5043" xmlns:ns4="7c021886-8276-4343-9dac-4899aae25304" targetNamespace="http://schemas.microsoft.com/office/2006/metadata/properties" ma:root="true" ma:fieldsID="aa1e11cf9daa8fd3c6a26bc3a2f41172" ns2:_="" ns3:_="" ns4:_="">
    <xsd:import namespace="24cef8f4-f3bd-4b96-93c8-74ab1f9c1b5b"/>
    <xsd:import namespace="bd90a3d6-a44c-409d-a43f-03274dea5043"/>
    <xsd:import namespace="7c021886-8276-4343-9dac-4899aae25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f8f4-f3bd-4b96-93c8-74ab1f9c1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8df5329-9c23-409b-974d-9789dd446b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0a3d6-a44c-409d-a43f-03274dea504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21886-8276-4343-9dac-4899aae2530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6c9727-b4d6-4690-85d5-be171f6d22ad}" ma:internalName="TaxCatchAll" ma:showField="CatchAllData" ma:web="7c021886-8276-4343-9dac-4899aae25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d90a3d6-a44c-409d-a43f-03274dea5043">
      <UserInfo>
        <DisplayName>Tomas Guzman - Compass</DisplayName>
        <AccountId>203</AccountId>
        <AccountType/>
      </UserInfo>
      <UserInfo>
        <DisplayName>Eduardo Aldunce - Compass</DisplayName>
        <AccountId>112</AccountId>
        <AccountType/>
      </UserInfo>
      <UserInfo>
        <DisplayName>Tomas Venezian - Compass</DisplayName>
        <AccountId>121</AccountId>
        <AccountType/>
      </UserInfo>
      <UserInfo>
        <DisplayName>Nicolas Garcia-Huidobro - Compass</DisplayName>
        <AccountId>122</AccountId>
        <AccountType/>
      </UserInfo>
      <UserInfo>
        <DisplayName>Luis Pardo - Compass</DisplayName>
        <AccountId>166</AccountId>
        <AccountType/>
      </UserInfo>
      <UserInfo>
        <DisplayName>Jose Andrews - Compass</DisplayName>
        <AccountId>436</AccountId>
        <AccountType/>
      </UserInfo>
      <UserInfo>
        <DisplayName>Gonzalo Bardin - Compass</DisplayName>
        <AccountId>744</AccountId>
        <AccountType/>
      </UserInfo>
    </SharedWithUsers>
    <TaxCatchAll xmlns="7c021886-8276-4343-9dac-4899aae25304" xsi:nil="true"/>
    <lcf76f155ced4ddcb4097134ff3c332f xmlns="24cef8f4-f3bd-4b96-93c8-74ab1f9c1b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C87819-C3D6-440A-B8D7-F5AD959968BA}">
  <ds:schemaRefs>
    <ds:schemaRef ds:uri="http://schemas.microsoft.com/sharepoint/v3/contenttype/forms"/>
  </ds:schemaRefs>
</ds:datastoreItem>
</file>

<file path=customXml/itemProps2.xml><?xml version="1.0" encoding="utf-8"?>
<ds:datastoreItem xmlns:ds="http://schemas.openxmlformats.org/officeDocument/2006/customXml" ds:itemID="{765676A4-6DDE-4E07-A869-83735EF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ef8f4-f3bd-4b96-93c8-74ab1f9c1b5b"/>
    <ds:schemaRef ds:uri="bd90a3d6-a44c-409d-a43f-03274dea5043"/>
    <ds:schemaRef ds:uri="7c021886-8276-4343-9dac-4899aae2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4F4D5-2DB8-429C-AB90-63B2F6D3BD0F}">
  <ds:schemaRefs>
    <ds:schemaRef ds:uri="http://schemas.openxmlformats.org/officeDocument/2006/bibliography"/>
  </ds:schemaRefs>
</ds:datastoreItem>
</file>

<file path=customXml/itemProps4.xml><?xml version="1.0" encoding="utf-8"?>
<ds:datastoreItem xmlns:ds="http://schemas.openxmlformats.org/officeDocument/2006/customXml" ds:itemID="{F671DC20-BB6A-4C51-B263-9664B23A7D4A}">
  <ds:schemaRefs>
    <ds:schemaRef ds:uri="http://schemas.microsoft.com/office/2006/metadata/properties"/>
    <ds:schemaRef ds:uri="http://schemas.microsoft.com/office/infopath/2007/PartnerControls"/>
    <ds:schemaRef ds:uri="bd90a3d6-a44c-409d-a43f-03274dea5043"/>
    <ds:schemaRef ds:uri="7c021886-8276-4343-9dac-4899aae25304"/>
    <ds:schemaRef ds:uri="24cef8f4-f3bd-4b96-93c8-74ab1f9c1b5b"/>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Tapia - Compass Group</dc:creator>
  <cp:keywords/>
  <dc:description/>
  <cp:lastModifiedBy>Pedro Inostroza Ibáñez</cp:lastModifiedBy>
  <cp:revision>9</cp:revision>
  <dcterms:created xsi:type="dcterms:W3CDTF">2025-07-15T13:42:00Z</dcterms:created>
  <dcterms:modified xsi:type="dcterms:W3CDTF">2025-07-15T16:51:00Z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0x010100B43DEB8FF1BEC34FA18EE4B8CC111980</vt:lpwstr>
  </property>
  <property fmtid="{D5CDD505-2E9C-101B-9397-08002B2CF9AE}" pid="3" name="MediaServiceImageTags">
    <vt:lpwstr/>
  </property>
  <property fmtid="{D5CDD505-2E9C-101B-9397-08002B2CF9AE}" pid="4" name="MSIP_Label_70b38fc1-c290-4ac1-afb8-94f2455a05a5_Enabled">
    <vt:lpwstr>true</vt:lpwstr>
  </property>
  <property fmtid="{D5CDD505-2E9C-101B-9397-08002B2CF9AE}" pid="5" name="MSIP_Label_70b38fc1-c290-4ac1-afb8-94f2455a05a5_SetDate">
    <vt:lpwstr>2024-01-15T23:33:58Z</vt:lpwstr>
  </property>
  <property fmtid="{D5CDD505-2E9C-101B-9397-08002B2CF9AE}" pid="6" name="MSIP_Label_70b38fc1-c290-4ac1-afb8-94f2455a05a5_Method">
    <vt:lpwstr>Privileged</vt:lpwstr>
  </property>
  <property fmtid="{D5CDD505-2E9C-101B-9397-08002B2CF9AE}" pid="7" name="MSIP_Label_70b38fc1-c290-4ac1-afb8-94f2455a05a5_Name">
    <vt:lpwstr>70b38fc1-c290-4ac1-afb8-94f2455a05a5</vt:lpwstr>
  </property>
  <property fmtid="{D5CDD505-2E9C-101B-9397-08002B2CF9AE}" pid="8" name="MSIP_Label_70b38fc1-c290-4ac1-afb8-94f2455a05a5_SiteId">
    <vt:lpwstr>cb612d37-461b-4d06-addf-52d3062c0007</vt:lpwstr>
  </property>
  <property fmtid="{D5CDD505-2E9C-101B-9397-08002B2CF9AE}" pid="9" name="MSIP_Label_70b38fc1-c290-4ac1-afb8-94f2455a05a5_ActionId">
    <vt:lpwstr>9c71072e-5e11-452d-a6f3-76b0b9878e82</vt:lpwstr>
  </property>
  <property fmtid="{D5CDD505-2E9C-101B-9397-08002B2CF9AE}" pid="10" name="MSIP_Label_70b38fc1-c290-4ac1-afb8-94f2455a05a5_ContentBits">
    <vt:lpwstr>0</vt:lpwstr>
  </property>
</Properties>
</file>