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64C57A06" w14:textId="1F3C948B" w:rsidR="005B2D61" w:rsidRPr="008F6097" w:rsidRDefault="005B2D61" w:rsidP="00022EBC">
      <w:pPr>
        <w:autoSpaceDE w:val="0"/>
        <w:autoSpaceDN w:val="0"/>
        <w:adjustRightInd w:val="0"/>
        <w:spacing w:before="240" w:after="240" w:line="276" w:lineRule="auto"/>
        <w:rPr>
          <w:rFonts w:cs="Calibri"/>
          <w:szCs w:val="22"/>
        </w:rPr>
      </w:pPr>
      <w:r w:rsidRPr="008F6097">
        <w:rPr>
          <w:rFonts w:cs="Calibri"/>
          <w:szCs w:val="22"/>
        </w:rPr>
        <w:t>La economía global se enfrenta a un panorama cada vez más desafiante, caracterizado por una escalada de l</w:t>
      </w:r>
      <w:r w:rsidR="3EF1FA44" w:rsidRPr="008F6097">
        <w:rPr>
          <w:rFonts w:cs="Calibri"/>
          <w:szCs w:val="22"/>
        </w:rPr>
        <w:t>a guerra comercial</w:t>
      </w:r>
      <w:r w:rsidRPr="008F6097">
        <w:rPr>
          <w:rFonts w:cs="Calibri"/>
          <w:szCs w:val="22"/>
        </w:rPr>
        <w:t xml:space="preserve">, revisiones a la baja en las proyecciones de crecimiento global y </w:t>
      </w:r>
      <w:r w:rsidR="34A4F135" w:rsidRPr="008F6097">
        <w:rPr>
          <w:rFonts w:cs="Calibri"/>
          <w:szCs w:val="22"/>
        </w:rPr>
        <w:t xml:space="preserve">medidas arancelarias inciertas por parte de la nueva administración de los Estados Unidos. </w:t>
      </w:r>
      <w:r w:rsidRPr="008F6097">
        <w:rPr>
          <w:rFonts w:cs="Calibri"/>
          <w:szCs w:val="22"/>
        </w:rPr>
        <w:t>Sin embargo, estas incertidumbres no afectan de manera uniforme a todas las regiones, y algunas podrían verse menos impactadas o incluso beneficiarse del contexto actual</w:t>
      </w:r>
      <w:r w:rsidR="55EE2DF8" w:rsidRPr="008F6097">
        <w:rPr>
          <w:rFonts w:cs="Calibri"/>
          <w:szCs w:val="22"/>
        </w:rPr>
        <w:t xml:space="preserve"> y de una reorganización del comercio internacional</w:t>
      </w:r>
      <w:r w:rsidRPr="008F6097">
        <w:rPr>
          <w:rFonts w:cs="Calibri"/>
          <w:szCs w:val="22"/>
        </w:rPr>
        <w:t>. Creemos que este es el caso de la mayoría de las economías de América Latina, que han demostrado ser resilientes en un entorno global más complejo</w:t>
      </w:r>
      <w:r w:rsidR="18BFC489" w:rsidRPr="008F6097">
        <w:rPr>
          <w:rFonts w:cs="Calibri"/>
          <w:szCs w:val="22"/>
        </w:rPr>
        <w:t xml:space="preserve"> y que han recibido el rango de porcentaje más bajo de tarifas de importación por parte de Estados Unidos.</w:t>
      </w:r>
    </w:p>
    <w:p w14:paraId="12068D3B" w14:textId="18E96CA2" w:rsidR="00773C4D" w:rsidRPr="008F6097" w:rsidRDefault="00773C4D" w:rsidP="00022EBC">
      <w:pPr>
        <w:autoSpaceDE w:val="0"/>
        <w:autoSpaceDN w:val="0"/>
        <w:adjustRightInd w:val="0"/>
        <w:spacing w:before="240" w:after="240" w:line="276" w:lineRule="auto"/>
        <w:rPr>
          <w:rFonts w:cs="Calibri"/>
          <w:szCs w:val="22"/>
        </w:rPr>
      </w:pPr>
      <w:r w:rsidRPr="008F6097">
        <w:rPr>
          <w:rFonts w:cs="Calibri"/>
          <w:szCs w:val="22"/>
        </w:rPr>
        <w:t>Tras varias décadas de lidiar con distintos tipos de crisis, esta vez la mayoría de los Bancos Centrales de la región han adoptado políticas monetarias rápidas y efectivas para enfrentar un entorno de alta inflación. Muchos países de la región incrementaron las tasas de interés mucho antes que los mercados desarrollados, lo que les permitió abordar la inflación en una etapa más temprana del ciclo y les brindó margen para iniciar recortes de tasas durante 2024, apoyando el crecimiento del PIB hacia 2025. Además, América Latina ha continuado beneficiándose de precios e</w:t>
      </w:r>
      <w:r w:rsidR="5D23C27B" w:rsidRPr="008F6097">
        <w:rPr>
          <w:rFonts w:cs="Calibri"/>
          <w:szCs w:val="22"/>
        </w:rPr>
        <w:t>stable</w:t>
      </w:r>
      <w:r w:rsidRPr="008F6097">
        <w:rPr>
          <w:rFonts w:cs="Calibri"/>
          <w:szCs w:val="22"/>
        </w:rPr>
        <w:t xml:space="preserve">s de los </w:t>
      </w:r>
      <w:proofErr w:type="spellStart"/>
      <w:r w:rsidRPr="007A799E">
        <w:rPr>
          <w:rFonts w:eastAsiaTheme="minorEastAsia"/>
          <w:i/>
          <w:iCs/>
          <w:szCs w:val="22"/>
        </w:rPr>
        <w:t>commodities</w:t>
      </w:r>
      <w:proofErr w:type="spellEnd"/>
      <w:r w:rsidR="0B0CFF22" w:rsidRPr="008F6097">
        <w:rPr>
          <w:rFonts w:eastAsiaTheme="minorEastAsia"/>
          <w:szCs w:val="22"/>
        </w:rPr>
        <w:t xml:space="preserve"> que deberían continuar encontrando soporte debido a restricciones estructurales en la cadena de suministros</w:t>
      </w:r>
      <w:r w:rsidRPr="008F6097">
        <w:rPr>
          <w:rFonts w:cs="Calibri"/>
          <w:szCs w:val="22"/>
        </w:rPr>
        <w:t xml:space="preserve">, así como de un buen </w:t>
      </w:r>
      <w:proofErr w:type="spellStart"/>
      <w:r w:rsidRPr="007A799E">
        <w:rPr>
          <w:rFonts w:eastAsiaTheme="minorEastAsia"/>
          <w:i/>
          <w:iCs/>
          <w:szCs w:val="22"/>
        </w:rPr>
        <w:t>momentum</w:t>
      </w:r>
      <w:proofErr w:type="spellEnd"/>
      <w:r w:rsidRPr="007A799E">
        <w:rPr>
          <w:rFonts w:cs="Calibri"/>
          <w:i/>
          <w:iCs/>
          <w:szCs w:val="22"/>
        </w:rPr>
        <w:t xml:space="preserve"> </w:t>
      </w:r>
      <w:r w:rsidRPr="008F6097">
        <w:rPr>
          <w:rFonts w:cs="Calibri"/>
          <w:szCs w:val="22"/>
        </w:rPr>
        <w:t>de consumo.</w:t>
      </w:r>
    </w:p>
    <w:p w14:paraId="3D8307F5" w14:textId="31C99279" w:rsidR="00892DD2" w:rsidRPr="008F6097" w:rsidRDefault="00892DD2" w:rsidP="00022EBC">
      <w:pPr>
        <w:autoSpaceDE w:val="0"/>
        <w:autoSpaceDN w:val="0"/>
        <w:adjustRightInd w:val="0"/>
        <w:spacing w:before="240" w:after="240" w:line="276" w:lineRule="auto"/>
        <w:rPr>
          <w:rFonts w:cs="Calibri"/>
          <w:szCs w:val="22"/>
        </w:rPr>
      </w:pPr>
      <w:r w:rsidRPr="008F6097">
        <w:rPr>
          <w:rFonts w:cs="Calibri"/>
          <w:szCs w:val="22"/>
        </w:rPr>
        <w:t>A</w:t>
      </w:r>
      <w:r w:rsidR="26F360D6" w:rsidRPr="008F6097">
        <w:rPr>
          <w:rFonts w:cs="Calibri"/>
          <w:szCs w:val="22"/>
        </w:rPr>
        <w:t xml:space="preserve"> pesar de </w:t>
      </w:r>
      <w:r w:rsidR="64D61178" w:rsidRPr="008F6097">
        <w:rPr>
          <w:rFonts w:cs="Calibri"/>
          <w:szCs w:val="22"/>
        </w:rPr>
        <w:t xml:space="preserve">los últimos anuncios </w:t>
      </w:r>
      <w:r w:rsidR="26F360D6" w:rsidRPr="008F6097">
        <w:rPr>
          <w:rFonts w:cs="Calibri"/>
          <w:szCs w:val="22"/>
        </w:rPr>
        <w:t>sobre medidas arancelarias</w:t>
      </w:r>
      <w:r w:rsidR="18B4742B" w:rsidRPr="008F6097">
        <w:rPr>
          <w:rFonts w:cs="Calibri"/>
          <w:szCs w:val="22"/>
        </w:rPr>
        <w:t xml:space="preserve"> y el aumento de volatilidad que podría generar en mercados emergentes</w:t>
      </w:r>
      <w:r w:rsidRPr="008F6097">
        <w:rPr>
          <w:rFonts w:cs="Calibri"/>
          <w:szCs w:val="22"/>
        </w:rPr>
        <w:t xml:space="preserve">, </w:t>
      </w:r>
      <w:r w:rsidR="47FFE17E" w:rsidRPr="008F6097">
        <w:rPr>
          <w:rFonts w:cs="Calibri"/>
          <w:szCs w:val="22"/>
        </w:rPr>
        <w:t xml:space="preserve">creemos que </w:t>
      </w:r>
      <w:r w:rsidRPr="008F6097">
        <w:rPr>
          <w:rFonts w:cs="Calibri"/>
          <w:szCs w:val="22"/>
        </w:rPr>
        <w:t xml:space="preserve">América Latina </w:t>
      </w:r>
      <w:r w:rsidR="7F69AE7C" w:rsidRPr="008F6097">
        <w:rPr>
          <w:rFonts w:cs="Calibri"/>
          <w:szCs w:val="22"/>
        </w:rPr>
        <w:t>result</w:t>
      </w:r>
      <w:r w:rsidR="63BD9E9B" w:rsidRPr="008F6097">
        <w:rPr>
          <w:rFonts w:cs="Calibri"/>
          <w:szCs w:val="22"/>
        </w:rPr>
        <w:t xml:space="preserve">ará </w:t>
      </w:r>
      <w:r w:rsidRPr="008F6097">
        <w:rPr>
          <w:rFonts w:cs="Calibri"/>
          <w:szCs w:val="22"/>
        </w:rPr>
        <w:t xml:space="preserve">menos afectada que otras regiones, dada </w:t>
      </w:r>
      <w:r w:rsidR="17C97607" w:rsidRPr="008F6097">
        <w:rPr>
          <w:rFonts w:cs="Calibri"/>
          <w:szCs w:val="22"/>
        </w:rPr>
        <w:t>la</w:t>
      </w:r>
      <w:r w:rsidRPr="008F6097">
        <w:rPr>
          <w:rFonts w:cs="Calibri"/>
          <w:szCs w:val="22"/>
        </w:rPr>
        <w:t xml:space="preserve"> relación comercial estratégica</w:t>
      </w:r>
      <w:r w:rsidR="51D5B906" w:rsidRPr="008F6097">
        <w:rPr>
          <w:rFonts w:cs="Calibri"/>
          <w:szCs w:val="22"/>
        </w:rPr>
        <w:t xml:space="preserve"> de Estados Unidos</w:t>
      </w:r>
      <w:r w:rsidRPr="008F6097">
        <w:rPr>
          <w:rFonts w:cs="Calibri"/>
          <w:szCs w:val="22"/>
        </w:rPr>
        <w:t xml:space="preserve"> con México</w:t>
      </w:r>
      <w:r w:rsidR="41364BBA" w:rsidRPr="008F6097">
        <w:rPr>
          <w:rFonts w:cs="Calibri"/>
          <w:szCs w:val="22"/>
        </w:rPr>
        <w:t xml:space="preserve"> y </w:t>
      </w:r>
      <w:r w:rsidR="77C65C86" w:rsidRPr="008F6097">
        <w:rPr>
          <w:rFonts w:cs="Calibri"/>
          <w:szCs w:val="22"/>
        </w:rPr>
        <w:t>con potenciales países de Centro América y el Caribe</w:t>
      </w:r>
      <w:r w:rsidRPr="008F6097">
        <w:rPr>
          <w:rFonts w:cs="Calibri"/>
          <w:szCs w:val="22"/>
        </w:rPr>
        <w:t>. Asimismo, la ubicación estratégica de la región la protege del impacto de un aumento agudo en los conflictos geopolíticos globales.</w:t>
      </w:r>
    </w:p>
    <w:p w14:paraId="34F6CB85" w14:textId="69477D04" w:rsidR="00D374E2" w:rsidRDefault="00C55EBD" w:rsidP="00022EBC">
      <w:pPr>
        <w:autoSpaceDE w:val="0"/>
        <w:autoSpaceDN w:val="0"/>
        <w:adjustRightInd w:val="0"/>
        <w:spacing w:before="240" w:after="240" w:line="276" w:lineRule="auto"/>
        <w:rPr>
          <w:rFonts w:cs="Calibri"/>
          <w:szCs w:val="22"/>
        </w:rPr>
      </w:pPr>
      <w:r w:rsidRPr="008F6097">
        <w:rPr>
          <w:rFonts w:cs="Calibri"/>
          <w:szCs w:val="22"/>
        </w:rPr>
        <w:t>En términos generales, América Latina presenta un panorama dinámico con diversas oportunidades y desafíos. En el ámbito crediticio, observamos valoraciones atractivas con amplios spreads en comparación con otras regiones. Además, las empresas latinoamericanas gozan de balances saludables y una sólida liquidez, y esperamos que los defaults en 2025 disminuyan ligeramente, manteniéndose por debajo de los promedios históricos a largo plazo.</w:t>
      </w:r>
    </w:p>
    <w:p w14:paraId="735C8876" w14:textId="4A2446BF" w:rsidR="00E01DB3" w:rsidRDefault="00415441" w:rsidP="00022EBC">
      <w:pPr>
        <w:autoSpaceDE w:val="0"/>
        <w:autoSpaceDN w:val="0"/>
        <w:adjustRightInd w:val="0"/>
        <w:spacing w:before="240" w:after="240" w:line="276" w:lineRule="auto"/>
        <w:rPr>
          <w:rFonts w:cs="Calibri"/>
          <w:szCs w:val="22"/>
        </w:rPr>
      </w:pPr>
      <w:r w:rsidRPr="008F6097">
        <w:rPr>
          <w:rFonts w:cs="Calibri"/>
          <w:szCs w:val="22"/>
        </w:rPr>
        <w:t>Entre los riesgos globales se incluyen una posible recesión económica y las incertidumbres sobre la efectividad de las últimas medidas económicas en China. Los riesgos regionales podrían abarcar la falta de disciplina fiscal en Brasil, desafíos climáticos en la región andina, un menor impulso en los precios de los metales y políticas inesperadas implementadas por el nuevo gobierno mexicano.</w:t>
      </w:r>
    </w:p>
    <w:p w14:paraId="6CBAF037" w14:textId="77777777" w:rsidR="00E01DB3" w:rsidRDefault="00E01DB3">
      <w:pPr>
        <w:jc w:val="left"/>
        <w:rPr>
          <w:rFonts w:cs="Calibri"/>
          <w:szCs w:val="22"/>
        </w:rPr>
      </w:pPr>
      <w:r>
        <w:rPr>
          <w:rFonts w:cs="Calibri"/>
          <w:szCs w:val="22"/>
        </w:rPr>
        <w:br w:type="page"/>
      </w:r>
    </w:p>
    <w:p w14:paraId="3FEC02D7" w14:textId="4BC77D6C" w:rsidR="00415441" w:rsidRPr="008F6097" w:rsidRDefault="00415441" w:rsidP="00022EBC">
      <w:pPr>
        <w:autoSpaceDE w:val="0"/>
        <w:autoSpaceDN w:val="0"/>
        <w:adjustRightInd w:val="0"/>
        <w:spacing w:before="240" w:after="240" w:line="276" w:lineRule="auto"/>
        <w:rPr>
          <w:rFonts w:cs="Calibri"/>
          <w:szCs w:val="22"/>
        </w:rPr>
      </w:pPr>
      <w:r w:rsidRPr="008F6097">
        <w:rPr>
          <w:rFonts w:cs="Calibri"/>
          <w:szCs w:val="22"/>
        </w:rPr>
        <w:lastRenderedPageBreak/>
        <w:t xml:space="preserve">En el </w:t>
      </w:r>
      <w:r w:rsidR="40BB32AA" w:rsidRPr="008F6097">
        <w:rPr>
          <w:rFonts w:cs="Calibri"/>
          <w:szCs w:val="22"/>
        </w:rPr>
        <w:t>segundo</w:t>
      </w:r>
      <w:r w:rsidR="68084C04" w:rsidRPr="008F6097">
        <w:rPr>
          <w:rFonts w:cs="Calibri"/>
          <w:szCs w:val="22"/>
        </w:rPr>
        <w:t xml:space="preserve"> </w:t>
      </w:r>
      <w:r w:rsidRPr="008F6097">
        <w:rPr>
          <w:rFonts w:cs="Calibri"/>
          <w:szCs w:val="22"/>
        </w:rPr>
        <w:t>trimestre de 202</w:t>
      </w:r>
      <w:r w:rsidR="2B55F04F" w:rsidRPr="008F6097">
        <w:rPr>
          <w:rFonts w:cs="Calibri"/>
          <w:szCs w:val="22"/>
        </w:rPr>
        <w:t>5</w:t>
      </w:r>
      <w:r w:rsidR="00560BBC" w:rsidRPr="008F6097">
        <w:rPr>
          <w:rFonts w:cs="Calibri"/>
          <w:szCs w:val="22"/>
        </w:rPr>
        <w:t xml:space="preserve">, </w:t>
      </w:r>
      <w:proofErr w:type="spellStart"/>
      <w:r w:rsidRPr="008F6097">
        <w:rPr>
          <w:rFonts w:cs="Calibri"/>
          <w:szCs w:val="22"/>
        </w:rPr>
        <w:t>Compass</w:t>
      </w:r>
      <w:proofErr w:type="spellEnd"/>
      <w:r w:rsidRPr="008F6097">
        <w:rPr>
          <w:rFonts w:cs="Calibri"/>
          <w:szCs w:val="22"/>
        </w:rPr>
        <w:t xml:space="preserve"> </w:t>
      </w:r>
      <w:proofErr w:type="spellStart"/>
      <w:r w:rsidRPr="008F6097">
        <w:rPr>
          <w:rFonts w:cs="Calibri"/>
          <w:szCs w:val="22"/>
        </w:rPr>
        <w:t>Latam</w:t>
      </w:r>
      <w:proofErr w:type="spellEnd"/>
      <w:r w:rsidRPr="008F6097">
        <w:rPr>
          <w:rFonts w:cs="Calibri"/>
          <w:szCs w:val="22"/>
        </w:rPr>
        <w:t xml:space="preserve"> </w:t>
      </w:r>
      <w:proofErr w:type="spellStart"/>
      <w:r w:rsidRPr="008F6097">
        <w:rPr>
          <w:rFonts w:cs="Calibri"/>
          <w:szCs w:val="22"/>
        </w:rPr>
        <w:t>Corporate</w:t>
      </w:r>
      <w:proofErr w:type="spellEnd"/>
      <w:r w:rsidRPr="008F6097">
        <w:rPr>
          <w:rFonts w:cs="Calibri"/>
          <w:szCs w:val="22"/>
        </w:rPr>
        <w:t xml:space="preserve"> </w:t>
      </w:r>
      <w:proofErr w:type="spellStart"/>
      <w:r w:rsidRPr="008F6097">
        <w:rPr>
          <w:rFonts w:cs="Calibri"/>
          <w:szCs w:val="22"/>
        </w:rPr>
        <w:t>Debt</w:t>
      </w:r>
      <w:proofErr w:type="spellEnd"/>
      <w:r w:rsidRPr="008F6097">
        <w:rPr>
          <w:rFonts w:cs="Calibri"/>
          <w:szCs w:val="22"/>
        </w:rPr>
        <w:t xml:space="preserve"> Fondo de Inversión tuvo un retorno</w:t>
      </w:r>
      <w:r w:rsidR="00463768" w:rsidRPr="008F6097">
        <w:rPr>
          <w:rFonts w:cs="Calibri"/>
          <w:szCs w:val="22"/>
        </w:rPr>
        <w:t xml:space="preserve"> </w:t>
      </w:r>
      <w:r w:rsidRPr="008F6097">
        <w:rPr>
          <w:rFonts w:cs="Calibri"/>
          <w:szCs w:val="22"/>
        </w:rPr>
        <w:t>de</w:t>
      </w:r>
      <w:r w:rsidR="00357E1D" w:rsidRPr="008F6097">
        <w:rPr>
          <w:rFonts w:cs="Calibri"/>
          <w:szCs w:val="22"/>
        </w:rPr>
        <w:t xml:space="preserve"> </w:t>
      </w:r>
      <w:r w:rsidR="008913C5" w:rsidRPr="008F6097">
        <w:rPr>
          <w:rFonts w:cs="Calibri"/>
          <w:szCs w:val="22"/>
        </w:rPr>
        <w:t>1</w:t>
      </w:r>
      <w:r w:rsidR="004F753A" w:rsidRPr="008F6097">
        <w:rPr>
          <w:rFonts w:cs="Calibri"/>
          <w:szCs w:val="22"/>
        </w:rPr>
        <w:t>,</w:t>
      </w:r>
      <w:r w:rsidR="006D3C59" w:rsidRPr="008F6097">
        <w:rPr>
          <w:rFonts w:cs="Calibri"/>
          <w:szCs w:val="22"/>
        </w:rPr>
        <w:t>7</w:t>
      </w:r>
      <w:r w:rsidRPr="008F6097">
        <w:rPr>
          <w:rFonts w:cs="Calibri"/>
          <w:szCs w:val="22"/>
        </w:rPr>
        <w:t>%</w:t>
      </w:r>
      <w:r w:rsidRPr="008F6097">
        <w:rPr>
          <w:rFonts w:cs="Calibri"/>
          <w:szCs w:val="22"/>
          <w:vertAlign w:val="superscript"/>
        </w:rPr>
        <w:t>(2)</w:t>
      </w:r>
      <w:r w:rsidRPr="00891431">
        <w:rPr>
          <w:rFonts w:cs="Calibri"/>
          <w:szCs w:val="22"/>
        </w:rPr>
        <w:t>,</w:t>
      </w:r>
      <w:r w:rsidRPr="008F6097">
        <w:rPr>
          <w:rFonts w:cs="Calibri"/>
          <w:szCs w:val="22"/>
        </w:rPr>
        <w:t xml:space="preserve"> mientras que el </w:t>
      </w:r>
      <w:proofErr w:type="spellStart"/>
      <w:r w:rsidRPr="008F6097">
        <w:rPr>
          <w:rFonts w:cs="Calibri"/>
          <w:szCs w:val="22"/>
        </w:rPr>
        <w:t>Compass</w:t>
      </w:r>
      <w:proofErr w:type="spellEnd"/>
      <w:r w:rsidRPr="008F6097">
        <w:rPr>
          <w:rFonts w:cs="Calibri"/>
          <w:szCs w:val="22"/>
        </w:rPr>
        <w:t xml:space="preserve"> </w:t>
      </w:r>
      <w:proofErr w:type="spellStart"/>
      <w:r w:rsidRPr="008F6097">
        <w:rPr>
          <w:rFonts w:cs="Calibri"/>
          <w:szCs w:val="22"/>
        </w:rPr>
        <w:t>Latam</w:t>
      </w:r>
      <w:proofErr w:type="spellEnd"/>
      <w:r w:rsidRPr="008F6097">
        <w:rPr>
          <w:rFonts w:cs="Calibri"/>
          <w:szCs w:val="22"/>
        </w:rPr>
        <w:t xml:space="preserve"> High </w:t>
      </w:r>
      <w:proofErr w:type="spellStart"/>
      <w:r w:rsidRPr="008F6097">
        <w:rPr>
          <w:rFonts w:cs="Calibri"/>
          <w:szCs w:val="22"/>
        </w:rPr>
        <w:t>Yield</w:t>
      </w:r>
      <w:proofErr w:type="spellEnd"/>
      <w:r w:rsidRPr="008F6097">
        <w:rPr>
          <w:rFonts w:cs="Calibri"/>
          <w:szCs w:val="22"/>
        </w:rPr>
        <w:t xml:space="preserve"> USD Fondo de Inversión presentó una rentabilidad de </w:t>
      </w:r>
      <w:r w:rsidR="3834EBF3" w:rsidRPr="008F6097">
        <w:rPr>
          <w:rFonts w:cs="Calibri"/>
          <w:szCs w:val="22"/>
        </w:rPr>
        <w:t>1</w:t>
      </w:r>
      <w:r w:rsidR="004F753A" w:rsidRPr="008F6097">
        <w:rPr>
          <w:rFonts w:cs="Calibri"/>
          <w:szCs w:val="22"/>
        </w:rPr>
        <w:t>,</w:t>
      </w:r>
      <w:r w:rsidR="226D11BD" w:rsidRPr="008F6097">
        <w:rPr>
          <w:rFonts w:cs="Calibri"/>
          <w:szCs w:val="22"/>
        </w:rPr>
        <w:t>4</w:t>
      </w:r>
      <w:r w:rsidR="00CE4241" w:rsidRPr="008F6097">
        <w:rPr>
          <w:rFonts w:cs="Calibri"/>
          <w:szCs w:val="22"/>
        </w:rPr>
        <w:t>%</w:t>
      </w:r>
      <w:r w:rsidR="00CE4241" w:rsidRPr="008F6097">
        <w:rPr>
          <w:rFonts w:cs="Calibri"/>
          <w:szCs w:val="22"/>
          <w:vertAlign w:val="superscript"/>
        </w:rPr>
        <w:t>(</w:t>
      </w:r>
      <w:r w:rsidRPr="008F6097">
        <w:rPr>
          <w:rFonts w:cs="Calibri"/>
          <w:szCs w:val="22"/>
          <w:vertAlign w:val="superscript"/>
        </w:rPr>
        <w:t>3)</w:t>
      </w:r>
      <w:r w:rsidRPr="00891431">
        <w:rPr>
          <w:rFonts w:cs="Calibri"/>
          <w:szCs w:val="22"/>
        </w:rPr>
        <w:t>.</w:t>
      </w:r>
    </w:p>
    <w:p w14:paraId="5C35C234" w14:textId="0BB87CAF" w:rsidR="00415441" w:rsidRDefault="00415441" w:rsidP="00022EBC">
      <w:pPr>
        <w:spacing w:before="240" w:after="240" w:line="276" w:lineRule="auto"/>
        <w:rPr>
          <w:rFonts w:cs="Calibri"/>
          <w:color w:val="002FA7" w:themeColor="background2"/>
          <w:szCs w:val="22"/>
        </w:rPr>
      </w:pPr>
      <w:r w:rsidRPr="00971046">
        <w:rPr>
          <w:rFonts w:cs="Calibri"/>
          <w:szCs w:val="22"/>
        </w:rPr>
        <w:t xml:space="preserve">Para mayor información de los retornos de los fondos, por favor revisar sus </w:t>
      </w:r>
      <w:proofErr w:type="spellStart"/>
      <w:r w:rsidRPr="00971046">
        <w:rPr>
          <w:rFonts w:cs="Calibri"/>
          <w:szCs w:val="22"/>
        </w:rPr>
        <w:t>factsheets</w:t>
      </w:r>
      <w:proofErr w:type="spellEnd"/>
      <w:r w:rsidRPr="00971046">
        <w:rPr>
          <w:rFonts w:cs="Calibri"/>
          <w:szCs w:val="22"/>
        </w:rPr>
        <w:t xml:space="preserve"> en los siguientes enlaces: </w:t>
      </w:r>
      <w:hyperlink r:id="rId11" w:history="1">
        <w:proofErr w:type="spellStart"/>
        <w:r w:rsidR="00993BD5" w:rsidRPr="007E774E">
          <w:rPr>
            <w:rFonts w:ascii="Aptos" w:hAnsi="Aptos"/>
            <w:color w:val="002FA7" w:themeColor="background2"/>
            <w:u w:val="single"/>
          </w:rPr>
          <w:t>Compass</w:t>
        </w:r>
        <w:proofErr w:type="spellEnd"/>
        <w:r w:rsidR="00993BD5" w:rsidRPr="007E774E">
          <w:rPr>
            <w:rFonts w:ascii="Aptos" w:hAnsi="Aptos"/>
            <w:color w:val="002FA7" w:themeColor="background2"/>
            <w:u w:val="single"/>
          </w:rPr>
          <w:t xml:space="preserve"> </w:t>
        </w:r>
        <w:proofErr w:type="spellStart"/>
        <w:r w:rsidR="00993BD5" w:rsidRPr="007E774E">
          <w:rPr>
            <w:rFonts w:ascii="Aptos" w:hAnsi="Aptos"/>
            <w:color w:val="002FA7" w:themeColor="background2"/>
            <w:u w:val="single"/>
          </w:rPr>
          <w:t>Latam</w:t>
        </w:r>
        <w:proofErr w:type="spellEnd"/>
        <w:r w:rsidR="00993BD5" w:rsidRPr="007E774E">
          <w:rPr>
            <w:rFonts w:ascii="Aptos" w:hAnsi="Aptos"/>
            <w:color w:val="002FA7" w:themeColor="background2"/>
            <w:u w:val="single"/>
          </w:rPr>
          <w:t xml:space="preserve"> </w:t>
        </w:r>
        <w:r w:rsidR="0074714A" w:rsidRPr="007E774E">
          <w:rPr>
            <w:rFonts w:ascii="Aptos" w:hAnsi="Aptos"/>
            <w:color w:val="002FA7" w:themeColor="background2"/>
            <w:u w:val="single"/>
          </w:rPr>
          <w:t>Compárate</w:t>
        </w:r>
        <w:r w:rsidR="00993BD5" w:rsidRPr="007E774E">
          <w:rPr>
            <w:rFonts w:ascii="Aptos" w:hAnsi="Aptos"/>
            <w:color w:val="002FA7" w:themeColor="background2"/>
            <w:u w:val="single"/>
          </w:rPr>
          <w:t xml:space="preserve"> </w:t>
        </w:r>
        <w:proofErr w:type="spellStart"/>
        <w:r w:rsidR="00993BD5" w:rsidRPr="007E774E">
          <w:rPr>
            <w:rFonts w:ascii="Aptos" w:hAnsi="Aptos"/>
            <w:color w:val="002FA7" w:themeColor="background2"/>
            <w:u w:val="single"/>
          </w:rPr>
          <w:t>Debt</w:t>
        </w:r>
        <w:proofErr w:type="spellEnd"/>
        <w:r w:rsidR="00993BD5" w:rsidRPr="007E774E">
          <w:rPr>
            <w:rFonts w:ascii="Aptos" w:hAnsi="Aptos"/>
            <w:color w:val="002FA7" w:themeColor="background2"/>
            <w:u w:val="single"/>
          </w:rPr>
          <w:t xml:space="preserve"> Fondo de Inversión | </w:t>
        </w:r>
        <w:proofErr w:type="spellStart"/>
        <w:r w:rsidR="00993BD5" w:rsidRPr="007E774E">
          <w:rPr>
            <w:rFonts w:ascii="Aptos" w:hAnsi="Aptos"/>
            <w:color w:val="002FA7" w:themeColor="background2"/>
            <w:u w:val="single"/>
          </w:rPr>
          <w:t>Compass</w:t>
        </w:r>
        <w:proofErr w:type="spellEnd"/>
        <w:r w:rsidR="00993BD5" w:rsidRPr="007E774E">
          <w:rPr>
            <w:rFonts w:ascii="Aptos" w:hAnsi="Aptos"/>
            <w:color w:val="002FA7" w:themeColor="background2"/>
            <w:u w:val="single"/>
          </w:rPr>
          <w:t xml:space="preserve"> </w:t>
        </w:r>
        <w:proofErr w:type="spellStart"/>
        <w:r w:rsidR="00993BD5" w:rsidRPr="007E774E">
          <w:rPr>
            <w:rFonts w:ascii="Aptos" w:hAnsi="Aptos"/>
            <w:color w:val="002FA7" w:themeColor="background2"/>
            <w:u w:val="single"/>
          </w:rPr>
          <w:t>Group</w:t>
        </w:r>
        <w:proofErr w:type="spellEnd"/>
      </w:hyperlink>
      <w:r w:rsidRPr="007E774E">
        <w:rPr>
          <w:rFonts w:ascii="Aptos" w:hAnsi="Aptos" w:cs="Calibri"/>
          <w:color w:val="002FA7" w:themeColor="background2"/>
          <w:szCs w:val="22"/>
          <w:u w:val="single"/>
        </w:rPr>
        <w:t xml:space="preserve">, </w:t>
      </w:r>
      <w:hyperlink r:id="rId12" w:history="1">
        <w:proofErr w:type="spellStart"/>
        <w:r w:rsidR="00E97232" w:rsidRPr="007E774E">
          <w:rPr>
            <w:rFonts w:ascii="Aptos" w:hAnsi="Aptos"/>
            <w:color w:val="002FA7" w:themeColor="background2"/>
            <w:u w:val="single"/>
          </w:rPr>
          <w:t>Compass</w:t>
        </w:r>
        <w:proofErr w:type="spellEnd"/>
        <w:r w:rsidR="00E97232" w:rsidRPr="007E774E">
          <w:rPr>
            <w:rFonts w:ascii="Aptos" w:hAnsi="Aptos"/>
            <w:color w:val="002FA7" w:themeColor="background2"/>
            <w:u w:val="single"/>
          </w:rPr>
          <w:t xml:space="preserve"> </w:t>
        </w:r>
        <w:proofErr w:type="spellStart"/>
        <w:r w:rsidR="00E97232" w:rsidRPr="007E774E">
          <w:rPr>
            <w:rFonts w:ascii="Aptos" w:hAnsi="Aptos"/>
            <w:color w:val="002FA7" w:themeColor="background2"/>
            <w:u w:val="single"/>
          </w:rPr>
          <w:t>Latam</w:t>
        </w:r>
        <w:proofErr w:type="spellEnd"/>
        <w:r w:rsidR="00E97232" w:rsidRPr="007E774E">
          <w:rPr>
            <w:rFonts w:ascii="Aptos" w:hAnsi="Aptos"/>
            <w:color w:val="002FA7" w:themeColor="background2"/>
            <w:u w:val="single"/>
          </w:rPr>
          <w:t xml:space="preserve"> High </w:t>
        </w:r>
        <w:proofErr w:type="spellStart"/>
        <w:r w:rsidR="00E97232" w:rsidRPr="007E774E">
          <w:rPr>
            <w:rFonts w:ascii="Aptos" w:hAnsi="Aptos"/>
            <w:color w:val="002FA7" w:themeColor="background2"/>
            <w:u w:val="single"/>
          </w:rPr>
          <w:t>Yield</w:t>
        </w:r>
        <w:proofErr w:type="spellEnd"/>
        <w:r w:rsidR="00E97232" w:rsidRPr="007E774E">
          <w:rPr>
            <w:rFonts w:ascii="Aptos" w:hAnsi="Aptos"/>
            <w:color w:val="002FA7" w:themeColor="background2"/>
            <w:u w:val="single"/>
          </w:rPr>
          <w:t xml:space="preserve"> USD Fondo de Inversión | </w:t>
        </w:r>
        <w:proofErr w:type="spellStart"/>
        <w:r w:rsidR="00E97232" w:rsidRPr="007E774E">
          <w:rPr>
            <w:rFonts w:ascii="Aptos" w:hAnsi="Aptos"/>
            <w:color w:val="002FA7" w:themeColor="background2"/>
            <w:u w:val="single"/>
          </w:rPr>
          <w:t>Compass</w:t>
        </w:r>
        <w:proofErr w:type="spellEnd"/>
        <w:r w:rsidR="00E97232" w:rsidRPr="007E774E">
          <w:rPr>
            <w:rFonts w:ascii="Aptos" w:hAnsi="Aptos"/>
            <w:color w:val="002FA7" w:themeColor="background2"/>
            <w:u w:val="single"/>
          </w:rPr>
          <w:t xml:space="preserve"> </w:t>
        </w:r>
        <w:proofErr w:type="spellStart"/>
        <w:r w:rsidR="00E97232" w:rsidRPr="007E774E">
          <w:rPr>
            <w:rFonts w:ascii="Aptos" w:hAnsi="Aptos"/>
            <w:color w:val="002FA7" w:themeColor="background2"/>
            <w:u w:val="single"/>
          </w:rPr>
          <w:t>Group</w:t>
        </w:r>
        <w:proofErr w:type="spellEnd"/>
      </w:hyperlink>
      <w:r w:rsidRPr="007E774E">
        <w:rPr>
          <w:rFonts w:ascii="Aptos" w:hAnsi="Aptos" w:cs="Calibri"/>
          <w:color w:val="002FA7" w:themeColor="background2"/>
          <w:szCs w:val="22"/>
          <w:u w:val="single"/>
        </w:rPr>
        <w:t>.</w:t>
      </w:r>
    </w:p>
    <w:p w14:paraId="04F01DCC" w14:textId="3F93FA66" w:rsidR="00C75C94" w:rsidRDefault="00C75C94" w:rsidP="00022EBC">
      <w:pPr>
        <w:spacing w:before="240" w:after="240" w:line="276" w:lineRule="auto"/>
        <w:rPr>
          <w:rFonts w:cs="Calibri"/>
          <w:color w:val="002FA7" w:themeColor="background2"/>
          <w:szCs w:val="22"/>
        </w:rPr>
      </w:pPr>
      <w:r w:rsidRPr="00FB4010">
        <w:rPr>
          <w:rFonts w:ascii="Aptos" w:hAnsi="Aptos" w:cs="Calibri"/>
          <w:b/>
          <w:bCs/>
          <w:noProof/>
        </w:rPr>
        <w:drawing>
          <wp:anchor distT="0" distB="0" distL="114300" distR="114300" simplePos="0" relativeHeight="251658246" behindDoc="0" locked="0" layoutInCell="1" allowOverlap="1" wp14:anchorId="6153DA3C" wp14:editId="1C804F1A">
            <wp:simplePos x="0" y="0"/>
            <wp:positionH relativeFrom="column">
              <wp:posOffset>2249</wp:posOffset>
            </wp:positionH>
            <wp:positionV relativeFrom="paragraph">
              <wp:posOffset>321310</wp:posOffset>
            </wp:positionV>
            <wp:extent cx="910590" cy="910590"/>
            <wp:effectExtent l="0" t="0" r="3810" b="3810"/>
            <wp:wrapThrough wrapText="bothSides">
              <wp:wrapPolygon edited="0">
                <wp:start x="0" y="0"/>
                <wp:lineTo x="0" y="21389"/>
                <wp:lineTo x="21389" y="21389"/>
                <wp:lineTo x="21389"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mas venezi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0590" cy="910590"/>
                    </a:xfrm>
                    <a:prstGeom prst="rect">
                      <a:avLst/>
                    </a:prstGeom>
                  </pic:spPr>
                </pic:pic>
              </a:graphicData>
            </a:graphic>
            <wp14:sizeRelH relativeFrom="page">
              <wp14:pctWidth>0</wp14:pctWidth>
            </wp14:sizeRelH>
            <wp14:sizeRelV relativeFrom="page">
              <wp14:pctHeight>0</wp14:pctHeight>
            </wp14:sizeRelV>
          </wp:anchor>
        </w:drawing>
      </w:r>
    </w:p>
    <w:p w14:paraId="4379CC60" w14:textId="00DEF26D" w:rsidR="009704FC" w:rsidRPr="009B7F9E" w:rsidRDefault="009704FC" w:rsidP="009704FC">
      <w:pPr>
        <w:ind w:left="1701"/>
        <w:rPr>
          <w:rFonts w:ascii="Aptos" w:hAnsi="Aptos" w:cs="Calibri"/>
          <w:b/>
          <w:bCs/>
          <w:color w:val="002FA7" w:themeColor="background2"/>
          <w:sz w:val="24"/>
          <w:lang w:val="en-US"/>
        </w:rPr>
      </w:pPr>
      <w:r w:rsidRPr="009B7F9E">
        <w:rPr>
          <w:rFonts w:ascii="Aptos" w:hAnsi="Aptos" w:cs="Calibri"/>
          <w:b/>
          <w:bCs/>
          <w:color w:val="002FA7" w:themeColor="background2"/>
          <w:sz w:val="24"/>
          <w:lang w:val="en-US"/>
        </w:rPr>
        <w:t xml:space="preserve">Tomás </w:t>
      </w:r>
      <w:proofErr w:type="spellStart"/>
      <w:r w:rsidRPr="009B7F9E">
        <w:rPr>
          <w:rFonts w:ascii="Aptos" w:hAnsi="Aptos" w:cs="Calibri"/>
          <w:b/>
          <w:bCs/>
          <w:color w:val="002FA7" w:themeColor="background2"/>
          <w:sz w:val="24"/>
          <w:lang w:val="en-US"/>
        </w:rPr>
        <w:t>Venezian</w:t>
      </w:r>
      <w:proofErr w:type="spellEnd"/>
    </w:p>
    <w:p w14:paraId="32A24E3A" w14:textId="2EA49D3A" w:rsidR="009704FC" w:rsidRPr="009704FC" w:rsidRDefault="009704FC" w:rsidP="009704FC">
      <w:pPr>
        <w:ind w:left="1701"/>
        <w:rPr>
          <w:lang w:val="en-US"/>
        </w:rPr>
      </w:pPr>
      <w:r w:rsidRPr="009704FC">
        <w:rPr>
          <w:color w:val="404040"/>
          <w:lang w:val="en-US"/>
        </w:rPr>
        <w:t xml:space="preserve">Socio, Head of Private &amp; Public Credit </w:t>
      </w:r>
      <w:proofErr w:type="spellStart"/>
      <w:r w:rsidRPr="009704FC">
        <w:rPr>
          <w:color w:val="404040"/>
          <w:lang w:val="en-US"/>
        </w:rPr>
        <w:t>LatAm</w:t>
      </w:r>
      <w:proofErr w:type="spellEnd"/>
    </w:p>
    <w:p w14:paraId="67D266DD" w14:textId="1689EA41"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2006</w:t>
      </w:r>
    </w:p>
    <w:p w14:paraId="0DC112CA" w14:textId="17243DC7"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2002</w:t>
      </w:r>
    </w:p>
    <w:p w14:paraId="49297324" w14:textId="3048B04E" w:rsidR="009704FC" w:rsidRPr="009704FC" w:rsidRDefault="009704FC" w:rsidP="009B7F9E">
      <w:pPr>
        <w:spacing w:before="240" w:after="240"/>
        <w:rPr>
          <w:rFonts w:eastAsia="Times New Roman" w:cs="Calibri"/>
          <w:szCs w:val="22"/>
          <w:shd w:val="clear" w:color="auto" w:fill="FFFFFF"/>
          <w:lang w:eastAsia="es-ES_tradnl"/>
        </w:rPr>
      </w:pPr>
      <w:r w:rsidRPr="009704FC">
        <w:rPr>
          <w:rFonts w:eastAsia="Times New Roman" w:cs="Calibri"/>
          <w:szCs w:val="22"/>
          <w:shd w:val="clear" w:color="auto" w:fill="FFFFFF"/>
          <w:lang w:eastAsia="es-ES_tradnl"/>
        </w:rPr>
        <w:t xml:space="preserve">Tomás es Socio, Director de crédito público y privado para Latinoamérica en Vinci </w:t>
      </w:r>
      <w:proofErr w:type="spellStart"/>
      <w:r w:rsidRPr="009704FC">
        <w:rPr>
          <w:rFonts w:eastAsia="Times New Roman" w:cs="Calibri"/>
          <w:szCs w:val="22"/>
          <w:shd w:val="clear" w:color="auto" w:fill="FFFFFF"/>
          <w:lang w:eastAsia="es-ES_tradnl"/>
        </w:rPr>
        <w:t>Compass</w:t>
      </w:r>
      <w:proofErr w:type="spellEnd"/>
      <w:r w:rsidRPr="009704FC">
        <w:rPr>
          <w:rFonts w:eastAsia="Times New Roman" w:cs="Calibri"/>
          <w:szCs w:val="22"/>
          <w:shd w:val="clear" w:color="auto" w:fill="FFFFFF"/>
          <w:lang w:eastAsia="es-ES_tradnl"/>
        </w:rPr>
        <w:t xml:space="preserve">. Previamente fue </w:t>
      </w:r>
      <w:proofErr w:type="spellStart"/>
      <w:r w:rsidRPr="009704FC">
        <w:rPr>
          <w:rFonts w:eastAsia="Times New Roman" w:cs="Calibri"/>
          <w:szCs w:val="22"/>
          <w:shd w:val="clear" w:color="auto" w:fill="FFFFFF"/>
          <w:lang w:eastAsia="es-ES_tradnl"/>
        </w:rPr>
        <w:t>Chief</w:t>
      </w:r>
      <w:proofErr w:type="spellEnd"/>
      <w:r w:rsidRPr="009704FC">
        <w:rPr>
          <w:rFonts w:eastAsia="Times New Roman" w:cs="Calibri"/>
          <w:szCs w:val="22"/>
          <w:shd w:val="clear" w:color="auto" w:fill="FFFFFF"/>
          <w:lang w:eastAsia="es-ES_tradnl"/>
        </w:rPr>
        <w:t xml:space="preserve"> </w:t>
      </w:r>
      <w:proofErr w:type="spellStart"/>
      <w:r w:rsidRPr="009704FC">
        <w:rPr>
          <w:rFonts w:eastAsia="Times New Roman" w:cs="Calibri"/>
          <w:szCs w:val="22"/>
          <w:shd w:val="clear" w:color="auto" w:fill="FFFFFF"/>
          <w:lang w:eastAsia="es-ES_tradnl"/>
        </w:rPr>
        <w:t>Investment</w:t>
      </w:r>
      <w:proofErr w:type="spellEnd"/>
      <w:r w:rsidRPr="009704FC">
        <w:rPr>
          <w:rFonts w:eastAsia="Times New Roman" w:cs="Calibri"/>
          <w:szCs w:val="22"/>
          <w:shd w:val="clear" w:color="auto" w:fill="FFFFFF"/>
          <w:lang w:eastAsia="es-ES_tradnl"/>
        </w:rPr>
        <w:t xml:space="preserve"> </w:t>
      </w:r>
      <w:proofErr w:type="spellStart"/>
      <w:r w:rsidRPr="009704FC">
        <w:rPr>
          <w:rFonts w:eastAsia="Times New Roman" w:cs="Calibri"/>
          <w:szCs w:val="22"/>
          <w:shd w:val="clear" w:color="auto" w:fill="FFFFFF"/>
          <w:lang w:eastAsia="es-ES_tradnl"/>
        </w:rPr>
        <w:t>Officer</w:t>
      </w:r>
      <w:proofErr w:type="spellEnd"/>
      <w:r w:rsidRPr="009704FC">
        <w:rPr>
          <w:rFonts w:eastAsia="Times New Roman" w:cs="Calibri"/>
          <w:szCs w:val="22"/>
          <w:shd w:val="clear" w:color="auto" w:fill="FFFFFF"/>
          <w:lang w:eastAsia="es-ES_tradnl"/>
        </w:rPr>
        <w:t xml:space="preserve"> de </w:t>
      </w:r>
      <w:proofErr w:type="spellStart"/>
      <w:r w:rsidRPr="009704FC">
        <w:rPr>
          <w:rFonts w:eastAsia="Times New Roman" w:cs="Calibri"/>
          <w:szCs w:val="22"/>
          <w:shd w:val="clear" w:color="auto" w:fill="FFFFFF"/>
          <w:lang w:eastAsia="es-ES_tradnl"/>
        </w:rPr>
        <w:t>Compass</w:t>
      </w:r>
      <w:proofErr w:type="spellEnd"/>
      <w:r w:rsidRPr="009704FC">
        <w:rPr>
          <w:rFonts w:eastAsia="Times New Roman" w:cs="Calibri"/>
          <w:szCs w:val="22"/>
          <w:shd w:val="clear" w:color="auto" w:fill="FFFFFF"/>
          <w:lang w:eastAsia="es-ES_tradnl"/>
        </w:rPr>
        <w:t xml:space="preserve"> y Co-Portfolio Manager de las Estrategias de Deuda Corporativa Latinoamericana. Anteriormente fue Head de Crédito para la compañía desde el 2016. Previamente fue Subgerente del Equipo de Estrategias de Inversión en Chile en el 2006. Antes de su incorporación a la firma, fue Operador y Analista de Renta Fija para la compañía de seguros Principal </w:t>
      </w:r>
      <w:proofErr w:type="spellStart"/>
      <w:r w:rsidRPr="009704FC">
        <w:rPr>
          <w:rFonts w:eastAsia="Times New Roman" w:cs="Calibri"/>
          <w:szCs w:val="22"/>
          <w:shd w:val="clear" w:color="auto" w:fill="FFFFFF"/>
          <w:lang w:eastAsia="es-ES_tradnl"/>
        </w:rPr>
        <w:t>Financial</w:t>
      </w:r>
      <w:proofErr w:type="spellEnd"/>
      <w:r w:rsidRPr="009704FC">
        <w:rPr>
          <w:rFonts w:eastAsia="Times New Roman" w:cs="Calibri"/>
          <w:szCs w:val="22"/>
          <w:shd w:val="clear" w:color="auto" w:fill="FFFFFF"/>
          <w:lang w:eastAsia="es-ES_tradnl"/>
        </w:rPr>
        <w:t xml:space="preserve"> </w:t>
      </w:r>
      <w:proofErr w:type="spellStart"/>
      <w:r w:rsidRPr="009704FC">
        <w:rPr>
          <w:rFonts w:eastAsia="Times New Roman" w:cs="Calibri"/>
          <w:szCs w:val="22"/>
          <w:shd w:val="clear" w:color="auto" w:fill="FFFFFF"/>
          <w:lang w:eastAsia="es-ES_tradnl"/>
        </w:rPr>
        <w:t>Group</w:t>
      </w:r>
      <w:proofErr w:type="spellEnd"/>
      <w:r w:rsidRPr="009704FC">
        <w:rPr>
          <w:rFonts w:eastAsia="Times New Roman" w:cs="Calibri"/>
          <w:szCs w:val="22"/>
          <w:shd w:val="clear" w:color="auto" w:fill="FFFFFF"/>
          <w:lang w:eastAsia="es-ES_tradnl"/>
        </w:rPr>
        <w:t xml:space="preserve">. En sus inicios, fue </w:t>
      </w:r>
      <w:proofErr w:type="spellStart"/>
      <w:r w:rsidRPr="009704FC">
        <w:rPr>
          <w:rFonts w:eastAsia="Times New Roman" w:cs="Calibri"/>
          <w:szCs w:val="22"/>
          <w:shd w:val="clear" w:color="auto" w:fill="FFFFFF"/>
          <w:lang w:eastAsia="es-ES_tradnl"/>
        </w:rPr>
        <w:t>Trader</w:t>
      </w:r>
      <w:proofErr w:type="spellEnd"/>
      <w:r w:rsidRPr="009704FC">
        <w:rPr>
          <w:rFonts w:eastAsia="Times New Roman" w:cs="Calibri"/>
          <w:szCs w:val="22"/>
          <w:shd w:val="clear" w:color="auto" w:fill="FFFFFF"/>
          <w:lang w:eastAsia="es-ES_tradnl"/>
        </w:rPr>
        <w:t xml:space="preserve"> y Analista de Acciones para los fondos mutuos Principal </w:t>
      </w:r>
      <w:proofErr w:type="spellStart"/>
      <w:r w:rsidRPr="009704FC">
        <w:rPr>
          <w:rFonts w:eastAsia="Times New Roman" w:cs="Calibri"/>
          <w:szCs w:val="22"/>
          <w:shd w:val="clear" w:color="auto" w:fill="FFFFFF"/>
          <w:lang w:eastAsia="es-ES_tradnl"/>
        </w:rPr>
        <w:t>Financial</w:t>
      </w:r>
      <w:proofErr w:type="spellEnd"/>
      <w:r w:rsidRPr="009704FC">
        <w:rPr>
          <w:rFonts w:eastAsia="Times New Roman" w:cs="Calibri"/>
          <w:szCs w:val="22"/>
          <w:shd w:val="clear" w:color="auto" w:fill="FFFFFF"/>
          <w:lang w:eastAsia="es-ES_tradnl"/>
        </w:rPr>
        <w:t xml:space="preserve"> </w:t>
      </w:r>
      <w:proofErr w:type="spellStart"/>
      <w:r w:rsidRPr="009704FC">
        <w:rPr>
          <w:rFonts w:eastAsia="Times New Roman" w:cs="Calibri"/>
          <w:szCs w:val="22"/>
          <w:shd w:val="clear" w:color="auto" w:fill="FFFFFF"/>
          <w:lang w:eastAsia="es-ES_tradnl"/>
        </w:rPr>
        <w:t>Group</w:t>
      </w:r>
      <w:proofErr w:type="spellEnd"/>
      <w:r w:rsidRPr="009704FC">
        <w:rPr>
          <w:rFonts w:eastAsia="Times New Roman" w:cs="Calibri"/>
          <w:szCs w:val="22"/>
          <w:shd w:val="clear" w:color="auto" w:fill="FFFFFF"/>
          <w:lang w:eastAsia="es-ES_tradnl"/>
        </w:rPr>
        <w:t xml:space="preserve"> en el 2002.</w:t>
      </w:r>
    </w:p>
    <w:p w14:paraId="0000A854" w14:textId="6357425C" w:rsidR="009704FC" w:rsidRDefault="009704FC" w:rsidP="009B7F9E">
      <w:pPr>
        <w:spacing w:before="240" w:after="240"/>
        <w:rPr>
          <w:rFonts w:eastAsia="Times New Roman" w:cs="Calibri"/>
          <w:szCs w:val="22"/>
          <w:shd w:val="clear" w:color="auto" w:fill="FFFFFF"/>
          <w:lang w:eastAsia="es-ES_tradnl"/>
        </w:rPr>
      </w:pPr>
      <w:r w:rsidRPr="009704FC">
        <w:rPr>
          <w:rFonts w:eastAsia="Times New Roman" w:cs="Calibri"/>
          <w:szCs w:val="22"/>
          <w:shd w:val="clear" w:color="auto" w:fill="FFFFFF"/>
          <w:lang w:eastAsia="es-ES_tradnl"/>
        </w:rPr>
        <w:t>Tomás es Ingeniero Comercial de la Universidad de los Andes, Chile.</w:t>
      </w:r>
    </w:p>
    <w:p w14:paraId="26FD4EEF" w14:textId="22C5023F" w:rsidR="00E01DB3" w:rsidRDefault="00E01DB3" w:rsidP="00E01DB3">
      <w:pPr>
        <w:tabs>
          <w:tab w:val="left" w:pos="1020"/>
        </w:tabs>
        <w:spacing w:before="240" w:after="240"/>
        <w:rPr>
          <w:rFonts w:eastAsia="Times New Roman" w:cs="Calibri"/>
          <w:szCs w:val="22"/>
          <w:shd w:val="clear" w:color="auto" w:fill="FFFFFF"/>
          <w:lang w:eastAsia="es-ES_tradnl"/>
        </w:rPr>
      </w:pPr>
      <w:r>
        <w:rPr>
          <w:rFonts w:eastAsia="Times New Roman" w:cs="Calibri"/>
          <w:szCs w:val="22"/>
          <w:shd w:val="clear" w:color="auto" w:fill="FFFFFF"/>
          <w:lang w:eastAsia="es-ES_tradnl"/>
        </w:rPr>
        <w:tab/>
      </w:r>
    </w:p>
    <w:p w14:paraId="191BA3C2" w14:textId="6649930D" w:rsidR="00E01DB3" w:rsidRDefault="00784948">
      <w:pPr>
        <w:jc w:val="left"/>
        <w:rPr>
          <w:rFonts w:eastAsia="Times New Roman" w:cs="Calibri"/>
          <w:szCs w:val="22"/>
          <w:shd w:val="clear" w:color="auto" w:fill="FFFFFF"/>
          <w:lang w:eastAsia="es-ES_tradnl"/>
        </w:rPr>
      </w:pPr>
      <w:r>
        <w:rPr>
          <w:rFonts w:ascii="Calibri" w:hAnsi="Calibri" w:cs="Calibri"/>
          <w:b/>
          <w:bCs/>
          <w:noProof/>
        </w:rPr>
        <mc:AlternateContent>
          <mc:Choice Requires="wps">
            <w:drawing>
              <wp:anchor distT="0" distB="0" distL="114300" distR="114300" simplePos="0" relativeHeight="251661323" behindDoc="0" locked="0" layoutInCell="1" allowOverlap="1" wp14:anchorId="2F9B538F" wp14:editId="17D7CE5A">
                <wp:simplePos x="0" y="0"/>
                <wp:positionH relativeFrom="column">
                  <wp:posOffset>104059</wp:posOffset>
                </wp:positionH>
                <wp:positionV relativeFrom="paragraph">
                  <wp:posOffset>2508857</wp:posOffset>
                </wp:positionV>
                <wp:extent cx="1806278" cy="0"/>
                <wp:effectExtent l="0" t="0" r="10160" b="12700"/>
                <wp:wrapNone/>
                <wp:docPr id="299094956" name="Conector recto 15"/>
                <wp:cNvGraphicFramePr/>
                <a:graphic xmlns:a="http://schemas.openxmlformats.org/drawingml/2006/main">
                  <a:graphicData uri="http://schemas.microsoft.com/office/word/2010/wordprocessingShape">
                    <wps:wsp>
                      <wps:cNvCnPr/>
                      <wps:spPr>
                        <a:xfrm>
                          <a:off x="0"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F130D" id="Conector recto 15" o:spid="_x0000_s1026" style="position:absolute;z-index:251661323;visibility:visible;mso-wrap-style:square;mso-wrap-distance-left:9pt;mso-wrap-distance-top:0;mso-wrap-distance-right:9pt;mso-wrap-distance-bottom:0;mso-position-horizontal:absolute;mso-position-horizontal-relative:text;mso-position-vertical:absolute;mso-position-vertical-relative:text" from="8.2pt,197.55pt" to="150.45pt,19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" strokecolor="#002fa7 [3214]" strokeweight=".5pt">
                <v:stroke joinstyle="miter"/>
              </v:line>
            </w:pict>
          </mc:Fallback>
        </mc:AlternateContent>
      </w:r>
      <w:r w:rsidR="00E01DB3" w:rsidRPr="00F0243B">
        <w:rPr>
          <w:rFonts w:ascii="Calibri" w:hAnsi="Calibri" w:cs="Calibri"/>
          <w:b/>
          <w:bCs/>
          <w:noProof/>
        </w:rPr>
        <mc:AlternateContent>
          <mc:Choice Requires="wps">
            <w:drawing>
              <wp:anchor distT="0" distB="0" distL="114300" distR="114300" simplePos="0" relativeHeight="251660299" behindDoc="0" locked="0" layoutInCell="1" allowOverlap="1" wp14:anchorId="18848195" wp14:editId="6EB2DB57">
                <wp:simplePos x="0" y="0"/>
                <wp:positionH relativeFrom="page">
                  <wp:posOffset>901611</wp:posOffset>
                </wp:positionH>
                <wp:positionV relativeFrom="paragraph">
                  <wp:posOffset>2560800</wp:posOffset>
                </wp:positionV>
                <wp:extent cx="6400800" cy="469988"/>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400800" cy="469988"/>
                        </a:xfrm>
                        <a:prstGeom prst="rect">
                          <a:avLst/>
                        </a:prstGeom>
                        <a:noFill/>
                        <a:ln w="6350">
                          <a:noFill/>
                        </a:ln>
                      </wps:spPr>
                      <wps:txbx>
                        <w:txbxContent>
                          <w:p w14:paraId="63E0EFA5" w14:textId="77777777" w:rsidR="00E01DB3" w:rsidRPr="00B304ED" w:rsidRDefault="00E01DB3" w:rsidP="00E01DB3">
                            <w:pPr>
                              <w:pStyle w:val="Prrafodelista"/>
                              <w:numPr>
                                <w:ilvl w:val="0"/>
                                <w:numId w:val="2"/>
                              </w:numPr>
                              <w:ind w:left="142" w:hanging="142"/>
                              <w:rPr>
                                <w:rFonts w:cs="Calibri"/>
                                <w:sz w:val="14"/>
                                <w:szCs w:val="14"/>
                              </w:rPr>
                            </w:pPr>
                            <w:r w:rsidRPr="00B304ED">
                              <w:rPr>
                                <w:rFonts w:eastAsia="Times New Roman" w:cs="Calibri"/>
                                <w:sz w:val="14"/>
                                <w:szCs w:val="14"/>
                                <w:shd w:val="clear" w:color="auto" w:fill="FFFFFF"/>
                                <w:lang w:eastAsia="es-ES_tradnl"/>
                              </w:rPr>
                              <w:t xml:space="preserve">Estrategia Fondos Deuda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comprende a “</w:t>
                            </w:r>
                            <w:proofErr w:type="spellStart"/>
                            <w:r w:rsidRPr="00B304ED">
                              <w:rPr>
                                <w:rFonts w:eastAsia="Times New Roman" w:cs="Calibri"/>
                                <w:sz w:val="14"/>
                                <w:szCs w:val="14"/>
                                <w:shd w:val="clear" w:color="auto" w:fill="FFFFFF"/>
                                <w:lang w:eastAsia="es-ES_tradnl"/>
                              </w:rPr>
                              <w:t>Compass</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High </w:t>
                            </w:r>
                            <w:proofErr w:type="spellStart"/>
                            <w:r w:rsidRPr="00B304ED">
                              <w:rPr>
                                <w:rFonts w:eastAsia="Times New Roman" w:cs="Calibri"/>
                                <w:sz w:val="14"/>
                                <w:szCs w:val="14"/>
                                <w:shd w:val="clear" w:color="auto" w:fill="FFFFFF"/>
                                <w:lang w:eastAsia="es-ES_tradnl"/>
                              </w:rPr>
                              <w:t>Yield</w:t>
                            </w:r>
                            <w:proofErr w:type="spellEnd"/>
                            <w:r w:rsidRPr="00B304ED">
                              <w:rPr>
                                <w:rFonts w:eastAsia="Times New Roman" w:cs="Calibri"/>
                                <w:sz w:val="14"/>
                                <w:szCs w:val="14"/>
                                <w:shd w:val="clear" w:color="auto" w:fill="FFFFFF"/>
                                <w:lang w:eastAsia="es-ES_tradnl"/>
                              </w:rPr>
                              <w:t xml:space="preserve"> USD Fondo de Inversión” y “</w:t>
                            </w:r>
                            <w:proofErr w:type="spellStart"/>
                            <w:r w:rsidRPr="00B304ED">
                              <w:rPr>
                                <w:rFonts w:eastAsia="Times New Roman" w:cs="Calibri"/>
                                <w:sz w:val="14"/>
                                <w:szCs w:val="14"/>
                                <w:shd w:val="clear" w:color="auto" w:fill="FFFFFF"/>
                                <w:lang w:eastAsia="es-ES_tradnl"/>
                              </w:rPr>
                              <w:t>Compass</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Corporate</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Debt</w:t>
                            </w:r>
                            <w:proofErr w:type="spellEnd"/>
                            <w:r w:rsidRPr="00B304ED">
                              <w:rPr>
                                <w:rFonts w:eastAsia="Times New Roman" w:cs="Calibri"/>
                                <w:sz w:val="14"/>
                                <w:szCs w:val="14"/>
                                <w:shd w:val="clear" w:color="auto" w:fill="FFFFFF"/>
                                <w:lang w:eastAsia="es-ES_tradnl"/>
                              </w:rPr>
                              <w:t xml:space="preserve"> Fondo de Inversión”.</w:t>
                            </w:r>
                          </w:p>
                          <w:p w14:paraId="47566E33" w14:textId="77777777" w:rsidR="00E01DB3" w:rsidRPr="00B304ED" w:rsidRDefault="00E01DB3" w:rsidP="00E01DB3">
                            <w:pPr>
                              <w:pStyle w:val="Prrafodelista"/>
                              <w:numPr>
                                <w:ilvl w:val="0"/>
                                <w:numId w:val="2"/>
                              </w:numPr>
                              <w:spacing w:line="276" w:lineRule="auto"/>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sz w:val="14"/>
                                <w:szCs w:val="14"/>
                                <w:lang w:val="es-ES" w:eastAsia="es-ES_tradnl"/>
                              </w:rPr>
                              <w:t xml:space="preserve"> Vinci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datos al 30 de</w:t>
                            </w:r>
                            <w:r w:rsidRPr="00B304ED">
                              <w:rPr>
                                <w:rFonts w:eastAsia="Times New Roman" w:cs="Calibri"/>
                                <w:sz w:val="14"/>
                                <w:szCs w:val="14"/>
                                <w:shd w:val="clear" w:color="auto" w:fill="FFFFFF"/>
                                <w:lang w:eastAsia="es-ES_tradnl"/>
                              </w:rPr>
                              <w:t xml:space="preserve"> junio</w:t>
                            </w:r>
                            <w:r w:rsidRPr="00B304ED">
                              <w:rPr>
                                <w:rFonts w:eastAsia="Times New Roman" w:cs="Calibri"/>
                                <w:sz w:val="14"/>
                                <w:szCs w:val="14"/>
                                <w:lang w:val="es-ES" w:eastAsia="es-ES_tradnl"/>
                              </w:rPr>
                              <w:t xml:space="preserve"> 2025,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Latam</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Corporate</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Debt</w:t>
                            </w:r>
                            <w:proofErr w:type="spellEnd"/>
                            <w:r w:rsidRPr="00B304ED">
                              <w:rPr>
                                <w:rFonts w:eastAsia="Times New Roman" w:cs="Calibri"/>
                                <w:sz w:val="14"/>
                                <w:szCs w:val="14"/>
                                <w:lang w:val="es-ES" w:eastAsia="es-ES_tradnl"/>
                              </w:rPr>
                              <w:t xml:space="preserve"> Fondo de Inversión serie B</w:t>
                            </w:r>
                          </w:p>
                          <w:p w14:paraId="59CE6B86" w14:textId="230E7E61" w:rsidR="00E01DB3" w:rsidRPr="00B304ED" w:rsidRDefault="00E01DB3" w:rsidP="00E01DB3">
                            <w:pPr>
                              <w:pStyle w:val="Prrafodelista"/>
                              <w:numPr>
                                <w:ilvl w:val="0"/>
                                <w:numId w:val="2"/>
                              </w:numPr>
                              <w:spacing w:line="276" w:lineRule="auto"/>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b/>
                                <w:bCs/>
                                <w:sz w:val="14"/>
                                <w:szCs w:val="14"/>
                                <w:lang w:val="es-ES" w:eastAsia="es-ES_tradnl"/>
                              </w:rPr>
                              <w:t xml:space="preserve"> </w:t>
                            </w:r>
                            <w:r w:rsidRPr="00B304ED">
                              <w:rPr>
                                <w:rFonts w:eastAsia="Times New Roman" w:cs="Calibri"/>
                                <w:sz w:val="14"/>
                                <w:szCs w:val="14"/>
                                <w:lang w:val="es-ES" w:eastAsia="es-ES_tradnl"/>
                              </w:rPr>
                              <w:t xml:space="preserve">Vinci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datos al 30 de junio 20225,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Latam</w:t>
                            </w:r>
                            <w:proofErr w:type="spellEnd"/>
                            <w:r w:rsidRPr="00B304ED">
                              <w:rPr>
                                <w:rFonts w:eastAsia="Times New Roman" w:cs="Calibri"/>
                                <w:sz w:val="14"/>
                                <w:szCs w:val="14"/>
                                <w:lang w:val="es-ES" w:eastAsia="es-ES_tradnl"/>
                              </w:rPr>
                              <w:t xml:space="preserve"> High </w:t>
                            </w:r>
                            <w:proofErr w:type="spellStart"/>
                            <w:r w:rsidRPr="00B304ED">
                              <w:rPr>
                                <w:rFonts w:eastAsia="Times New Roman" w:cs="Calibri"/>
                                <w:sz w:val="14"/>
                                <w:szCs w:val="14"/>
                                <w:lang w:val="es-ES" w:eastAsia="es-ES_tradnl"/>
                              </w:rPr>
                              <w:t>Yield</w:t>
                            </w:r>
                            <w:proofErr w:type="spellEnd"/>
                            <w:r w:rsidRPr="00B304ED">
                              <w:rPr>
                                <w:rFonts w:eastAsia="Times New Roman" w:cs="Calibri"/>
                                <w:sz w:val="14"/>
                                <w:szCs w:val="14"/>
                                <w:lang w:val="es-ES" w:eastAsia="es-ES_tradnl"/>
                              </w:rPr>
                              <w:t xml:space="preserve"> USD Fondo de Inversión serie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48195" id="_x0000_t202" coordsize="21600,21600" o:spt="202" path="m,l,21600r21600,l21600,xe">
                <v:stroke joinstyle="miter"/>
                <v:path gradientshapeok="t" o:connecttype="rect"/>
              </v:shapetype>
              <v:shape id="Cuadro de texto 17" o:spid="_x0000_s1026" type="#_x0000_t202" style="position:absolute;margin-left:71pt;margin-top:201.65pt;width:7in;height:37pt;z-index:251660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" filled="f" stroked="f" strokeweight=".5pt">
                <v:textbox>
                  <w:txbxContent>
                    <w:p w14:paraId="63E0EFA5" w14:textId="77777777" w:rsidR="00E01DB3" w:rsidRPr="00B304ED" w:rsidRDefault="00E01DB3" w:rsidP="00E01DB3">
                      <w:pPr>
                        <w:pStyle w:val="Prrafodelista"/>
                        <w:numPr>
                          <w:ilvl w:val="0"/>
                          <w:numId w:val="2"/>
                        </w:numPr>
                        <w:ind w:left="142" w:hanging="142"/>
                        <w:rPr>
                          <w:rFonts w:cs="Calibri"/>
                          <w:sz w:val="14"/>
                          <w:szCs w:val="14"/>
                        </w:rPr>
                      </w:pPr>
                      <w:r w:rsidRPr="00B304ED">
                        <w:rPr>
                          <w:rFonts w:eastAsia="Times New Roman" w:cs="Calibri"/>
                          <w:sz w:val="14"/>
                          <w:szCs w:val="14"/>
                          <w:shd w:val="clear" w:color="auto" w:fill="FFFFFF"/>
                          <w:lang w:eastAsia="es-ES_tradnl"/>
                        </w:rPr>
                        <w:t xml:space="preserve">Estrategia Fondos Deuda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comprende a “</w:t>
                      </w:r>
                      <w:proofErr w:type="spellStart"/>
                      <w:r w:rsidRPr="00B304ED">
                        <w:rPr>
                          <w:rFonts w:eastAsia="Times New Roman" w:cs="Calibri"/>
                          <w:sz w:val="14"/>
                          <w:szCs w:val="14"/>
                          <w:shd w:val="clear" w:color="auto" w:fill="FFFFFF"/>
                          <w:lang w:eastAsia="es-ES_tradnl"/>
                        </w:rPr>
                        <w:t>Compass</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High </w:t>
                      </w:r>
                      <w:proofErr w:type="spellStart"/>
                      <w:r w:rsidRPr="00B304ED">
                        <w:rPr>
                          <w:rFonts w:eastAsia="Times New Roman" w:cs="Calibri"/>
                          <w:sz w:val="14"/>
                          <w:szCs w:val="14"/>
                          <w:shd w:val="clear" w:color="auto" w:fill="FFFFFF"/>
                          <w:lang w:eastAsia="es-ES_tradnl"/>
                        </w:rPr>
                        <w:t>Yield</w:t>
                      </w:r>
                      <w:proofErr w:type="spellEnd"/>
                      <w:r w:rsidRPr="00B304ED">
                        <w:rPr>
                          <w:rFonts w:eastAsia="Times New Roman" w:cs="Calibri"/>
                          <w:sz w:val="14"/>
                          <w:szCs w:val="14"/>
                          <w:shd w:val="clear" w:color="auto" w:fill="FFFFFF"/>
                          <w:lang w:eastAsia="es-ES_tradnl"/>
                        </w:rPr>
                        <w:t xml:space="preserve"> USD Fondo de Inversión” y “</w:t>
                      </w:r>
                      <w:proofErr w:type="spellStart"/>
                      <w:r w:rsidRPr="00B304ED">
                        <w:rPr>
                          <w:rFonts w:eastAsia="Times New Roman" w:cs="Calibri"/>
                          <w:sz w:val="14"/>
                          <w:szCs w:val="14"/>
                          <w:shd w:val="clear" w:color="auto" w:fill="FFFFFF"/>
                          <w:lang w:eastAsia="es-ES_tradnl"/>
                        </w:rPr>
                        <w:t>Compass</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Latam</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Corporate</w:t>
                      </w:r>
                      <w:proofErr w:type="spellEnd"/>
                      <w:r w:rsidRPr="00B304ED">
                        <w:rPr>
                          <w:rFonts w:eastAsia="Times New Roman" w:cs="Calibri"/>
                          <w:sz w:val="14"/>
                          <w:szCs w:val="14"/>
                          <w:shd w:val="clear" w:color="auto" w:fill="FFFFFF"/>
                          <w:lang w:eastAsia="es-ES_tradnl"/>
                        </w:rPr>
                        <w:t xml:space="preserve"> </w:t>
                      </w:r>
                      <w:proofErr w:type="spellStart"/>
                      <w:r w:rsidRPr="00B304ED">
                        <w:rPr>
                          <w:rFonts w:eastAsia="Times New Roman" w:cs="Calibri"/>
                          <w:sz w:val="14"/>
                          <w:szCs w:val="14"/>
                          <w:shd w:val="clear" w:color="auto" w:fill="FFFFFF"/>
                          <w:lang w:eastAsia="es-ES_tradnl"/>
                        </w:rPr>
                        <w:t>Debt</w:t>
                      </w:r>
                      <w:proofErr w:type="spellEnd"/>
                      <w:r w:rsidRPr="00B304ED">
                        <w:rPr>
                          <w:rFonts w:eastAsia="Times New Roman" w:cs="Calibri"/>
                          <w:sz w:val="14"/>
                          <w:szCs w:val="14"/>
                          <w:shd w:val="clear" w:color="auto" w:fill="FFFFFF"/>
                          <w:lang w:eastAsia="es-ES_tradnl"/>
                        </w:rPr>
                        <w:t xml:space="preserve"> Fondo de Inversión”.</w:t>
                      </w:r>
                    </w:p>
                    <w:p w14:paraId="47566E33" w14:textId="77777777" w:rsidR="00E01DB3" w:rsidRPr="00B304ED" w:rsidRDefault="00E01DB3" w:rsidP="00E01DB3">
                      <w:pPr>
                        <w:pStyle w:val="Prrafodelista"/>
                        <w:numPr>
                          <w:ilvl w:val="0"/>
                          <w:numId w:val="2"/>
                        </w:numPr>
                        <w:spacing w:line="276" w:lineRule="auto"/>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sz w:val="14"/>
                          <w:szCs w:val="14"/>
                          <w:lang w:val="es-ES" w:eastAsia="es-ES_tradnl"/>
                        </w:rPr>
                        <w:t xml:space="preserve"> Vinci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datos al 30 de</w:t>
                      </w:r>
                      <w:r w:rsidRPr="00B304ED">
                        <w:rPr>
                          <w:rFonts w:eastAsia="Times New Roman" w:cs="Calibri"/>
                          <w:sz w:val="14"/>
                          <w:szCs w:val="14"/>
                          <w:shd w:val="clear" w:color="auto" w:fill="FFFFFF"/>
                          <w:lang w:eastAsia="es-ES_tradnl"/>
                        </w:rPr>
                        <w:t xml:space="preserve"> junio</w:t>
                      </w:r>
                      <w:r w:rsidRPr="00B304ED">
                        <w:rPr>
                          <w:rFonts w:eastAsia="Times New Roman" w:cs="Calibri"/>
                          <w:sz w:val="14"/>
                          <w:szCs w:val="14"/>
                          <w:lang w:val="es-ES" w:eastAsia="es-ES_tradnl"/>
                        </w:rPr>
                        <w:t xml:space="preserve"> 2025,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Latam</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Corporate</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Debt</w:t>
                      </w:r>
                      <w:proofErr w:type="spellEnd"/>
                      <w:r w:rsidRPr="00B304ED">
                        <w:rPr>
                          <w:rFonts w:eastAsia="Times New Roman" w:cs="Calibri"/>
                          <w:sz w:val="14"/>
                          <w:szCs w:val="14"/>
                          <w:lang w:val="es-ES" w:eastAsia="es-ES_tradnl"/>
                        </w:rPr>
                        <w:t xml:space="preserve"> Fondo de Inversión serie B</w:t>
                      </w:r>
                    </w:p>
                    <w:p w14:paraId="59CE6B86" w14:textId="230E7E61" w:rsidR="00E01DB3" w:rsidRPr="00B304ED" w:rsidRDefault="00E01DB3" w:rsidP="00E01DB3">
                      <w:pPr>
                        <w:pStyle w:val="Prrafodelista"/>
                        <w:numPr>
                          <w:ilvl w:val="0"/>
                          <w:numId w:val="2"/>
                        </w:numPr>
                        <w:spacing w:line="276" w:lineRule="auto"/>
                        <w:ind w:left="142" w:right="-518" w:hanging="142"/>
                        <w:rPr>
                          <w:rFonts w:eastAsia="Times New Roman" w:cs="Calibri"/>
                          <w:sz w:val="14"/>
                          <w:szCs w:val="14"/>
                          <w:lang w:val="es-ES" w:eastAsia="es-ES_tradnl"/>
                        </w:rPr>
                      </w:pPr>
                      <w:r w:rsidRPr="007E774E">
                        <w:rPr>
                          <w:rFonts w:ascii="Aptos" w:eastAsia="Times New Roman" w:hAnsi="Aptos" w:cs="Calibri"/>
                          <w:b/>
                          <w:bCs/>
                          <w:sz w:val="14"/>
                          <w:szCs w:val="14"/>
                          <w:lang w:val="es-ES" w:eastAsia="es-ES_tradnl"/>
                        </w:rPr>
                        <w:t>Fuente:</w:t>
                      </w:r>
                      <w:r w:rsidRPr="00B304ED">
                        <w:rPr>
                          <w:rFonts w:eastAsia="Times New Roman" w:cs="Calibri"/>
                          <w:b/>
                          <w:bCs/>
                          <w:sz w:val="14"/>
                          <w:szCs w:val="14"/>
                          <w:lang w:val="es-ES" w:eastAsia="es-ES_tradnl"/>
                        </w:rPr>
                        <w:t xml:space="preserve"> </w:t>
                      </w:r>
                      <w:r w:rsidRPr="00B304ED">
                        <w:rPr>
                          <w:rFonts w:eastAsia="Times New Roman" w:cs="Calibri"/>
                          <w:sz w:val="14"/>
                          <w:szCs w:val="14"/>
                          <w:lang w:val="es-ES" w:eastAsia="es-ES_tradnl"/>
                        </w:rPr>
                        <w:t xml:space="preserve">Vinci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datos al 30 de junio 20225, </w:t>
                      </w:r>
                      <w:proofErr w:type="spellStart"/>
                      <w:r w:rsidRPr="00B304ED">
                        <w:rPr>
                          <w:rFonts w:eastAsia="Times New Roman" w:cs="Calibri"/>
                          <w:sz w:val="14"/>
                          <w:szCs w:val="14"/>
                          <w:lang w:val="es-ES" w:eastAsia="es-ES_tradnl"/>
                        </w:rPr>
                        <w:t>Compass</w:t>
                      </w:r>
                      <w:proofErr w:type="spellEnd"/>
                      <w:r w:rsidRPr="00B304ED">
                        <w:rPr>
                          <w:rFonts w:eastAsia="Times New Roman" w:cs="Calibri"/>
                          <w:sz w:val="14"/>
                          <w:szCs w:val="14"/>
                          <w:lang w:val="es-ES" w:eastAsia="es-ES_tradnl"/>
                        </w:rPr>
                        <w:t xml:space="preserve"> </w:t>
                      </w:r>
                      <w:proofErr w:type="spellStart"/>
                      <w:r w:rsidRPr="00B304ED">
                        <w:rPr>
                          <w:rFonts w:eastAsia="Times New Roman" w:cs="Calibri"/>
                          <w:sz w:val="14"/>
                          <w:szCs w:val="14"/>
                          <w:lang w:val="es-ES" w:eastAsia="es-ES_tradnl"/>
                        </w:rPr>
                        <w:t>Latam</w:t>
                      </w:r>
                      <w:proofErr w:type="spellEnd"/>
                      <w:r w:rsidRPr="00B304ED">
                        <w:rPr>
                          <w:rFonts w:eastAsia="Times New Roman" w:cs="Calibri"/>
                          <w:sz w:val="14"/>
                          <w:szCs w:val="14"/>
                          <w:lang w:val="es-ES" w:eastAsia="es-ES_tradnl"/>
                        </w:rPr>
                        <w:t xml:space="preserve"> High </w:t>
                      </w:r>
                      <w:proofErr w:type="spellStart"/>
                      <w:r w:rsidRPr="00B304ED">
                        <w:rPr>
                          <w:rFonts w:eastAsia="Times New Roman" w:cs="Calibri"/>
                          <w:sz w:val="14"/>
                          <w:szCs w:val="14"/>
                          <w:lang w:val="es-ES" w:eastAsia="es-ES_tradnl"/>
                        </w:rPr>
                        <w:t>Yield</w:t>
                      </w:r>
                      <w:proofErr w:type="spellEnd"/>
                      <w:r w:rsidRPr="00B304ED">
                        <w:rPr>
                          <w:rFonts w:eastAsia="Times New Roman" w:cs="Calibri"/>
                          <w:sz w:val="14"/>
                          <w:szCs w:val="14"/>
                          <w:lang w:val="es-ES" w:eastAsia="es-ES_tradnl"/>
                        </w:rPr>
                        <w:t xml:space="preserve"> USD Fondo de Inversión serie </w:t>
                      </w:r>
                    </w:p>
                  </w:txbxContent>
                </v:textbox>
                <w10:wrap anchorx="page"/>
              </v:shape>
            </w:pict>
          </mc:Fallback>
        </mc:AlternateContent>
      </w:r>
      <w:r w:rsidR="00E01DB3">
        <w:rPr>
          <w:rFonts w:eastAsia="Times New Roman" w:cs="Calibri"/>
          <w:szCs w:val="22"/>
          <w:shd w:val="clear" w:color="auto" w:fill="FFFFFF"/>
          <w:lang w:eastAsia="es-ES_tradnl"/>
        </w:rPr>
        <w:br w:type="page"/>
      </w:r>
    </w:p>
    <w:p w14:paraId="22A6B48A" w14:textId="5010240D" w:rsidR="006E201B" w:rsidRPr="006E201B" w:rsidRDefault="006E201B" w:rsidP="00F33A85">
      <w:pPr>
        <w:tabs>
          <w:tab w:val="left" w:pos="1020"/>
        </w:tabs>
        <w:rPr>
          <w:rFonts w:ascii="Aptos" w:hAnsi="Aptos" w:cs="Calibri"/>
          <w:b/>
          <w:bCs/>
          <w:color w:val="002FA7" w:themeColor="background2"/>
          <w:sz w:val="10"/>
          <w:szCs w:val="10"/>
          <w:lang w:val="es-ES"/>
        </w:rPr>
      </w:pPr>
      <w:r w:rsidRPr="00FB4010">
        <w:rPr>
          <w:rFonts w:ascii="Aptos" w:eastAsia="Times New Roman" w:hAnsi="Aptos" w:cs="Calibri"/>
          <w:noProof/>
          <w:sz w:val="18"/>
          <w:szCs w:val="18"/>
          <w:lang w:eastAsia="es-ES_tradnl"/>
        </w:rPr>
        <w:drawing>
          <wp:anchor distT="0" distB="0" distL="114300" distR="114300" simplePos="0" relativeHeight="251658243" behindDoc="1" locked="0" layoutInCell="1" allowOverlap="1" wp14:anchorId="6D72E10C" wp14:editId="1FE8000C">
            <wp:simplePos x="0" y="0"/>
            <wp:positionH relativeFrom="column">
              <wp:posOffset>22225</wp:posOffset>
            </wp:positionH>
            <wp:positionV relativeFrom="paragraph">
              <wp:posOffset>41910</wp:posOffset>
            </wp:positionV>
            <wp:extent cx="935990" cy="935990"/>
            <wp:effectExtent l="0" t="0" r="3810" b="3810"/>
            <wp:wrapSquare wrapText="bothSides"/>
            <wp:docPr id="22" name="Imagen 22" descr="Foto en blanco y negro de un hombre con traje y corba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oto en blanco y negro de un hombre con traje y corbata&#10;&#10;Descripción generada automáticamente"/>
                    <pic:cNvPicPr/>
                  </pic:nvPicPr>
                  <pic:blipFill rotWithShape="1">
                    <a:blip r:embed="rId14" cstate="print">
                      <a:extLst>
                        <a:ext uri="{28A0092B-C50C-407E-A947-70E740481C1C}">
                          <a14:useLocalDpi xmlns:a14="http://schemas.microsoft.com/office/drawing/2010/main" val="0"/>
                        </a:ext>
                      </a:extLst>
                    </a:blip>
                    <a:srcRect l="10203" t="7634" r="13757" b="16326"/>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p>
    <w:p w14:paraId="69711573" w14:textId="555C46AC" w:rsidR="00200302" w:rsidRPr="00200302" w:rsidRDefault="00200302" w:rsidP="00F33A85">
      <w:pPr>
        <w:tabs>
          <w:tab w:val="left" w:pos="1020"/>
        </w:tabs>
        <w:rPr>
          <w:rFonts w:ascii="Aptos" w:hAnsi="Aptos" w:cs="Calibri"/>
          <w:b/>
          <w:bCs/>
          <w:color w:val="002FA7" w:themeColor="background2"/>
          <w:sz w:val="24"/>
          <w:lang w:val="es-ES"/>
        </w:rPr>
      </w:pPr>
      <w:r w:rsidRPr="00200302">
        <w:rPr>
          <w:rFonts w:ascii="Aptos" w:hAnsi="Aptos" w:cs="Calibri"/>
          <w:b/>
          <w:bCs/>
          <w:color w:val="002FA7" w:themeColor="background2"/>
          <w:sz w:val="24"/>
          <w:lang w:val="es-ES"/>
        </w:rPr>
        <w:t>Nicolás García-Huidobro, CFA</w:t>
      </w:r>
    </w:p>
    <w:p w14:paraId="3250BE69" w14:textId="7B7418E5" w:rsidR="00200302" w:rsidRDefault="00200302" w:rsidP="00F33A85">
      <w:pPr>
        <w:ind w:left="1701"/>
        <w:rPr>
          <w:rFonts w:cs="Calibri"/>
          <w:szCs w:val="22"/>
          <w:lang w:val="pt-BR"/>
        </w:rPr>
      </w:pPr>
      <w:r w:rsidRPr="00200302">
        <w:rPr>
          <w:rFonts w:cs="Calibri"/>
          <w:szCs w:val="22"/>
          <w:lang w:val="pt-BR"/>
        </w:rPr>
        <w:t xml:space="preserve">Co- Portfolio Manager Latam </w:t>
      </w:r>
      <w:proofErr w:type="spellStart"/>
      <w:r w:rsidRPr="00200302">
        <w:rPr>
          <w:rFonts w:cs="Calibri"/>
          <w:szCs w:val="22"/>
          <w:lang w:val="pt-BR"/>
        </w:rPr>
        <w:t>Credit</w:t>
      </w:r>
      <w:proofErr w:type="spellEnd"/>
    </w:p>
    <w:p w14:paraId="418C6F0E" w14:textId="77777777" w:rsidR="00F33A85" w:rsidRPr="00200302" w:rsidRDefault="00F33A85" w:rsidP="00F33A85">
      <w:pPr>
        <w:ind w:left="1701"/>
        <w:rPr>
          <w:rFonts w:cs="Calibri"/>
          <w:szCs w:val="22"/>
          <w:lang w:val="pt-BR"/>
        </w:rPr>
      </w:pPr>
    </w:p>
    <w:p w14:paraId="10839990" w14:textId="77777777" w:rsidR="00200302" w:rsidRPr="00200302" w:rsidRDefault="00200302" w:rsidP="00F33A85">
      <w:pPr>
        <w:numPr>
          <w:ilvl w:val="0"/>
          <w:numId w:val="10"/>
        </w:numPr>
        <w:rPr>
          <w:rFonts w:cs="Calibri"/>
          <w:szCs w:val="22"/>
        </w:rPr>
      </w:pPr>
      <w:r w:rsidRPr="00200302">
        <w:rPr>
          <w:rFonts w:cs="Calibri"/>
          <w:szCs w:val="22"/>
        </w:rPr>
        <w:t>Incorporación a la firma 2009</w:t>
      </w:r>
    </w:p>
    <w:p w14:paraId="23A6D1C7" w14:textId="00457F3F" w:rsidR="00200302" w:rsidRPr="00C75C94" w:rsidRDefault="00200302" w:rsidP="00D73213">
      <w:pPr>
        <w:numPr>
          <w:ilvl w:val="0"/>
          <w:numId w:val="10"/>
        </w:numPr>
        <w:rPr>
          <w:rFonts w:cs="Calibri"/>
          <w:szCs w:val="22"/>
          <w:lang w:val="es-ES"/>
        </w:rPr>
      </w:pPr>
      <w:r w:rsidRPr="00200302">
        <w:rPr>
          <w:rFonts w:cs="Calibri"/>
          <w:szCs w:val="22"/>
        </w:rPr>
        <w:t>Incorporación a la industria 2009</w:t>
      </w:r>
    </w:p>
    <w:p w14:paraId="3062D132" w14:textId="5B538488" w:rsidR="00C75C94" w:rsidRDefault="00C75C94" w:rsidP="00C75C94">
      <w:pPr>
        <w:rPr>
          <w:rFonts w:cs="Calibri"/>
          <w:szCs w:val="22"/>
        </w:rPr>
      </w:pPr>
    </w:p>
    <w:p w14:paraId="182B9256" w14:textId="76E40AD9" w:rsidR="00DC253A" w:rsidRPr="00DC253A" w:rsidRDefault="00DC253A" w:rsidP="00C75C94">
      <w:pPr>
        <w:rPr>
          <w:rFonts w:eastAsia="Times New Roman" w:cs="Calibri"/>
          <w:szCs w:val="22"/>
          <w:shd w:val="clear" w:color="auto" w:fill="FFFFFF"/>
          <w:lang w:eastAsia="es-ES_tradnl"/>
        </w:rPr>
      </w:pPr>
      <w:r w:rsidRPr="00DC253A">
        <w:rPr>
          <w:rFonts w:eastAsia="Times New Roman" w:cs="Calibri"/>
          <w:szCs w:val="22"/>
          <w:shd w:val="clear" w:color="auto" w:fill="FFFFFF"/>
          <w:lang w:eastAsia="es-ES_tradnl"/>
        </w:rPr>
        <w:t xml:space="preserve">Nicolás es Co-Portfolio Manager de las Estrategias de Deuda Corporativa Latinoamericana. Anteriormente, y en paralelo a su rol actual, fue Head de </w:t>
      </w:r>
      <w:proofErr w:type="spellStart"/>
      <w:r w:rsidRPr="00DC253A">
        <w:rPr>
          <w:rFonts w:eastAsia="Times New Roman" w:cs="Calibri"/>
          <w:szCs w:val="22"/>
          <w:shd w:val="clear" w:color="auto" w:fill="FFFFFF"/>
          <w:lang w:eastAsia="es-ES_tradnl"/>
        </w:rPr>
        <w:t>Research</w:t>
      </w:r>
      <w:proofErr w:type="spellEnd"/>
      <w:r w:rsidRPr="00DC253A">
        <w:rPr>
          <w:rFonts w:eastAsia="Times New Roman" w:cs="Calibri"/>
          <w:szCs w:val="22"/>
          <w:shd w:val="clear" w:color="auto" w:fill="FFFFFF"/>
          <w:lang w:eastAsia="es-ES_tradnl"/>
        </w:rPr>
        <w:t xml:space="preserve"> de Perú, Colombia y Centroamérica. Entre 2011 y 2017 fue Analista Senior de </w:t>
      </w:r>
      <w:proofErr w:type="spellStart"/>
      <w:r w:rsidRPr="00DC253A">
        <w:rPr>
          <w:rFonts w:eastAsia="Times New Roman" w:cs="Calibri"/>
          <w:szCs w:val="22"/>
          <w:shd w:val="clear" w:color="auto" w:fill="FFFFFF"/>
          <w:lang w:eastAsia="es-ES_tradnl"/>
        </w:rPr>
        <w:t>Research</w:t>
      </w:r>
      <w:proofErr w:type="spellEnd"/>
      <w:r w:rsidRPr="00DC253A">
        <w:rPr>
          <w:rFonts w:eastAsia="Times New Roman" w:cs="Calibri"/>
          <w:szCs w:val="22"/>
          <w:shd w:val="clear" w:color="auto" w:fill="FFFFFF"/>
          <w:lang w:eastAsia="es-ES_tradnl"/>
        </w:rPr>
        <w:t xml:space="preserve"> y desde Co-Portfolio Manager del fondo </w:t>
      </w:r>
      <w:proofErr w:type="spellStart"/>
      <w:r w:rsidRPr="00DC253A">
        <w:rPr>
          <w:rFonts w:eastAsia="Times New Roman" w:cs="Calibri"/>
          <w:szCs w:val="22"/>
          <w:shd w:val="clear" w:color="auto" w:fill="FFFFFF"/>
          <w:lang w:eastAsia="es-ES_tradnl"/>
        </w:rPr>
        <w:t>Compass</w:t>
      </w:r>
      <w:proofErr w:type="spellEnd"/>
      <w:r w:rsidRPr="00DC253A">
        <w:rPr>
          <w:rFonts w:eastAsia="Times New Roman" w:cs="Calibri"/>
          <w:szCs w:val="22"/>
          <w:shd w:val="clear" w:color="auto" w:fill="FFFFFF"/>
          <w:lang w:eastAsia="es-ES_tradnl"/>
        </w:rPr>
        <w:t xml:space="preserve"> </w:t>
      </w:r>
      <w:proofErr w:type="spellStart"/>
      <w:r w:rsidRPr="00DC253A">
        <w:rPr>
          <w:rFonts w:eastAsia="Times New Roman" w:cs="Calibri"/>
          <w:szCs w:val="22"/>
          <w:shd w:val="clear" w:color="auto" w:fill="FFFFFF"/>
          <w:lang w:eastAsia="es-ES_tradnl"/>
        </w:rPr>
        <w:t>Latam</w:t>
      </w:r>
      <w:proofErr w:type="spellEnd"/>
      <w:r w:rsidRPr="00DC253A">
        <w:rPr>
          <w:rFonts w:eastAsia="Times New Roman" w:cs="Calibri"/>
          <w:szCs w:val="22"/>
          <w:shd w:val="clear" w:color="auto" w:fill="FFFFFF"/>
          <w:lang w:eastAsia="es-ES_tradnl"/>
        </w:rPr>
        <w:t xml:space="preserve"> High </w:t>
      </w:r>
      <w:proofErr w:type="spellStart"/>
      <w:r w:rsidRPr="00DC253A">
        <w:rPr>
          <w:rFonts w:eastAsia="Times New Roman" w:cs="Calibri"/>
          <w:szCs w:val="22"/>
          <w:shd w:val="clear" w:color="auto" w:fill="FFFFFF"/>
          <w:lang w:eastAsia="es-ES_tradnl"/>
        </w:rPr>
        <w:t>Yield</w:t>
      </w:r>
      <w:proofErr w:type="spellEnd"/>
      <w:r w:rsidRPr="00DC253A">
        <w:rPr>
          <w:rFonts w:eastAsia="Times New Roman" w:cs="Calibri"/>
          <w:szCs w:val="22"/>
          <w:shd w:val="clear" w:color="auto" w:fill="FFFFFF"/>
          <w:lang w:eastAsia="es-ES_tradnl"/>
        </w:rPr>
        <w:t xml:space="preserve">. También participa del análisis y estructuración de créditos privados en la misma estrategia. Antes de eso, Nicolás trabajó como Analista del fondo Small </w:t>
      </w:r>
      <w:proofErr w:type="spellStart"/>
      <w:r w:rsidRPr="00DC253A">
        <w:rPr>
          <w:rFonts w:eastAsia="Times New Roman" w:cs="Calibri"/>
          <w:szCs w:val="22"/>
          <w:shd w:val="clear" w:color="auto" w:fill="FFFFFF"/>
          <w:lang w:eastAsia="es-ES_tradnl"/>
        </w:rPr>
        <w:t>Cap</w:t>
      </w:r>
      <w:proofErr w:type="spellEnd"/>
      <w:r w:rsidRPr="00DC253A">
        <w:rPr>
          <w:rFonts w:eastAsia="Times New Roman" w:cs="Calibri"/>
          <w:szCs w:val="22"/>
          <w:shd w:val="clear" w:color="auto" w:fill="FFFFFF"/>
          <w:lang w:eastAsia="es-ES_tradnl"/>
        </w:rPr>
        <w:t xml:space="preserve"> Chile y a finales de 2010 se hizo responsable de la cobertura de empresas </w:t>
      </w:r>
      <w:proofErr w:type="spellStart"/>
      <w:r w:rsidRPr="00DC253A">
        <w:rPr>
          <w:rFonts w:eastAsia="Times New Roman" w:cs="Calibri"/>
          <w:szCs w:val="22"/>
          <w:shd w:val="clear" w:color="auto" w:fill="FFFFFF"/>
          <w:lang w:eastAsia="es-ES_tradnl"/>
        </w:rPr>
        <w:t>Large</w:t>
      </w:r>
      <w:proofErr w:type="spellEnd"/>
      <w:r w:rsidRPr="00DC253A">
        <w:rPr>
          <w:rFonts w:eastAsia="Times New Roman" w:cs="Calibri"/>
          <w:szCs w:val="22"/>
          <w:shd w:val="clear" w:color="auto" w:fill="FFFFFF"/>
          <w:lang w:eastAsia="es-ES_tradnl"/>
        </w:rPr>
        <w:t xml:space="preserve"> </w:t>
      </w:r>
      <w:proofErr w:type="spellStart"/>
      <w:r w:rsidRPr="00DC253A">
        <w:rPr>
          <w:rFonts w:eastAsia="Times New Roman" w:cs="Calibri"/>
          <w:szCs w:val="22"/>
          <w:shd w:val="clear" w:color="auto" w:fill="FFFFFF"/>
          <w:lang w:eastAsia="es-ES_tradnl"/>
        </w:rPr>
        <w:t>Cap</w:t>
      </w:r>
      <w:proofErr w:type="spellEnd"/>
      <w:r w:rsidRPr="00DC253A">
        <w:rPr>
          <w:rFonts w:eastAsia="Times New Roman" w:cs="Calibri"/>
          <w:szCs w:val="22"/>
          <w:shd w:val="clear" w:color="auto" w:fill="FFFFFF"/>
          <w:lang w:eastAsia="es-ES_tradnl"/>
        </w:rPr>
        <w:t xml:space="preserve"> Chile.</w:t>
      </w:r>
    </w:p>
    <w:p w14:paraId="56CDD571" w14:textId="028BA28F" w:rsidR="00DC253A" w:rsidRPr="00DC253A" w:rsidRDefault="00DC253A" w:rsidP="00DC253A">
      <w:pPr>
        <w:spacing w:before="240" w:after="240"/>
        <w:rPr>
          <w:rFonts w:eastAsia="Times New Roman" w:cs="Calibri"/>
          <w:szCs w:val="22"/>
          <w:shd w:val="clear" w:color="auto" w:fill="FFFFFF"/>
          <w:lang w:eastAsia="es-ES_tradnl"/>
        </w:rPr>
      </w:pPr>
      <w:r w:rsidRPr="00DC253A">
        <w:rPr>
          <w:rFonts w:eastAsia="Times New Roman" w:cs="Calibri"/>
          <w:szCs w:val="22"/>
          <w:shd w:val="clear" w:color="auto" w:fill="FFFFFF"/>
          <w:lang w:eastAsia="es-ES_tradnl"/>
        </w:rPr>
        <w:t xml:space="preserve">Nicolás es Ingeniero Comercial con un Master en finanzas de la Universidad Adolfo Ibáñez de Santiago de Chile. Es CFA </w:t>
      </w:r>
      <w:proofErr w:type="spellStart"/>
      <w:r w:rsidRPr="00DC253A">
        <w:rPr>
          <w:rFonts w:eastAsia="Times New Roman" w:cs="Calibri"/>
          <w:szCs w:val="22"/>
          <w:shd w:val="clear" w:color="auto" w:fill="FFFFFF"/>
          <w:lang w:eastAsia="es-ES_tradnl"/>
        </w:rPr>
        <w:t>Charterholder</w:t>
      </w:r>
      <w:proofErr w:type="spellEnd"/>
      <w:r w:rsidRPr="00DC253A">
        <w:rPr>
          <w:rFonts w:eastAsia="Times New Roman" w:cs="Calibri"/>
          <w:szCs w:val="22"/>
          <w:shd w:val="clear" w:color="auto" w:fill="FFFFFF"/>
          <w:lang w:eastAsia="es-ES_tradnl"/>
        </w:rPr>
        <w:t xml:space="preserve">. </w:t>
      </w:r>
    </w:p>
    <w:p w14:paraId="60F219C2" w14:textId="320A0A67" w:rsidR="00DC253A" w:rsidRPr="009704FC" w:rsidRDefault="00784948" w:rsidP="009B7F9E">
      <w:pPr>
        <w:spacing w:before="240" w:after="240"/>
        <w:rPr>
          <w:rFonts w:cs="Calibri"/>
          <w:szCs w:val="22"/>
        </w:rPr>
      </w:pPr>
      <w:r w:rsidRPr="00FB4010">
        <w:rPr>
          <w:rFonts w:ascii="Aptos" w:hAnsi="Aptos" w:cs="Calibri"/>
          <w:noProof/>
          <w:color w:val="002FA7" w:themeColor="background2"/>
        </w:rPr>
        <w:drawing>
          <wp:anchor distT="0" distB="0" distL="114300" distR="114300" simplePos="0" relativeHeight="251658251" behindDoc="1" locked="0" layoutInCell="1" allowOverlap="1" wp14:anchorId="1442180F" wp14:editId="188601E2">
            <wp:simplePos x="0" y="0"/>
            <wp:positionH relativeFrom="column">
              <wp:posOffset>19685</wp:posOffset>
            </wp:positionH>
            <wp:positionV relativeFrom="paragraph">
              <wp:posOffset>287020</wp:posOffset>
            </wp:positionV>
            <wp:extent cx="935990" cy="935990"/>
            <wp:effectExtent l="0" t="0" r="3810" b="3810"/>
            <wp:wrapTight wrapText="bothSides">
              <wp:wrapPolygon edited="0">
                <wp:start x="0" y="0"/>
                <wp:lineTo x="0" y="21395"/>
                <wp:lineTo x="21395" y="21395"/>
                <wp:lineTo x="21395" y="0"/>
                <wp:lineTo x="0" y="0"/>
              </wp:wrapPolygon>
            </wp:wrapTight>
            <wp:docPr id="238094924" name="Imagen 11" descr="Foto en blanco y negro de un hombre con traje y corbata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94924" name="Imagen 11" descr="Foto en blanco y negro de un hombre con traje y corbata sonriendo&#10;&#10;Descripción generada automáticamente"/>
                    <pic:cNvPicPr/>
                  </pic:nvPicPr>
                  <pic:blipFill rotWithShape="1">
                    <a:blip r:embed="rId15" cstate="print">
                      <a:extLst>
                        <a:ext uri="{28A0092B-C50C-407E-A947-70E740481C1C}">
                          <a14:useLocalDpi xmlns:a14="http://schemas.microsoft.com/office/drawing/2010/main" val="0"/>
                        </a:ext>
                      </a:extLst>
                    </a:blip>
                    <a:srcRect l="9561" t="2203" r="8371" b="15728"/>
                    <a:stretch>
                      <a:fillRect/>
                    </a:stretch>
                  </pic:blipFill>
                  <pic:spPr>
                    <a:xfrm flipH="1">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p>
    <w:p w14:paraId="24E2BC34" w14:textId="1733D2CB" w:rsidR="00B50EC2" w:rsidRPr="00B50EC2" w:rsidRDefault="00B50EC2" w:rsidP="00B50EC2">
      <w:pPr>
        <w:ind w:left="1701"/>
        <w:rPr>
          <w:rFonts w:ascii="Aptos" w:hAnsi="Aptos" w:cs="Calibri"/>
          <w:b/>
          <w:bCs/>
          <w:color w:val="002FA7" w:themeColor="background2"/>
          <w:sz w:val="24"/>
          <w:lang w:val="es-ES"/>
        </w:rPr>
      </w:pPr>
      <w:r w:rsidRPr="00B50EC2">
        <w:rPr>
          <w:rFonts w:ascii="Aptos" w:hAnsi="Aptos" w:cs="Calibri"/>
          <w:b/>
          <w:bCs/>
          <w:color w:val="002FA7" w:themeColor="background2"/>
          <w:sz w:val="24"/>
          <w:lang w:val="es-ES"/>
        </w:rPr>
        <w:t xml:space="preserve">Gonzalo </w:t>
      </w:r>
      <w:proofErr w:type="spellStart"/>
      <w:r w:rsidRPr="00B50EC2">
        <w:rPr>
          <w:rFonts w:ascii="Aptos" w:hAnsi="Aptos" w:cs="Calibri"/>
          <w:b/>
          <w:bCs/>
          <w:color w:val="002FA7" w:themeColor="background2"/>
          <w:sz w:val="24"/>
          <w:lang w:val="es-ES"/>
        </w:rPr>
        <w:t>Bardin</w:t>
      </w:r>
      <w:proofErr w:type="spellEnd"/>
      <w:r w:rsidRPr="00B50EC2">
        <w:rPr>
          <w:rFonts w:ascii="Aptos" w:hAnsi="Aptos" w:cs="Calibri"/>
          <w:b/>
          <w:bCs/>
          <w:color w:val="002FA7" w:themeColor="background2"/>
          <w:sz w:val="24"/>
          <w:lang w:val="es-ES"/>
        </w:rPr>
        <w:t>, CFA</w:t>
      </w:r>
    </w:p>
    <w:p w14:paraId="295AD89B" w14:textId="06253C66" w:rsidR="00B50EC2" w:rsidRPr="00B50EC2" w:rsidRDefault="00B50EC2" w:rsidP="00B50EC2">
      <w:pPr>
        <w:pStyle w:val="Textoindependiente"/>
        <w:rPr>
          <w:rFonts w:ascii="Aptos Light" w:hAnsi="Aptos Light"/>
          <w:lang w:val="pt-BR"/>
        </w:rPr>
      </w:pPr>
      <w:proofErr w:type="spellStart"/>
      <w:r w:rsidRPr="00B50EC2">
        <w:rPr>
          <w:rFonts w:ascii="Aptos Light" w:hAnsi="Aptos Light"/>
          <w:lang w:val="pt-BR"/>
        </w:rPr>
        <w:t>Assistant</w:t>
      </w:r>
      <w:proofErr w:type="spellEnd"/>
      <w:r w:rsidRPr="00B50EC2">
        <w:rPr>
          <w:rFonts w:ascii="Aptos Light" w:hAnsi="Aptos Light"/>
          <w:lang w:val="pt-BR"/>
        </w:rPr>
        <w:t xml:space="preserve"> PM y </w:t>
      </w:r>
      <w:proofErr w:type="spellStart"/>
      <w:r w:rsidRPr="00B50EC2">
        <w:rPr>
          <w:rFonts w:ascii="Aptos Light" w:hAnsi="Aptos Light"/>
          <w:lang w:val="pt-BR"/>
        </w:rPr>
        <w:t>Co-Portfolio</w:t>
      </w:r>
      <w:proofErr w:type="spellEnd"/>
      <w:r w:rsidRPr="00B50EC2">
        <w:rPr>
          <w:rFonts w:ascii="Aptos Light" w:hAnsi="Aptos Light"/>
          <w:lang w:val="pt-BR"/>
        </w:rPr>
        <w:t xml:space="preserve"> Manager</w:t>
      </w:r>
    </w:p>
    <w:p w14:paraId="1D347140" w14:textId="49097145" w:rsidR="00B50EC2" w:rsidRPr="00B50EC2" w:rsidRDefault="00B50EC2" w:rsidP="00B50EC2">
      <w:pPr>
        <w:rPr>
          <w:rFonts w:cs="Calibri"/>
          <w:szCs w:val="22"/>
          <w:lang w:val="pt-BR"/>
        </w:rPr>
      </w:pPr>
    </w:p>
    <w:p w14:paraId="7FE96DE7" w14:textId="58D55D51" w:rsidR="00B50EC2" w:rsidRPr="00B50EC2" w:rsidRDefault="00B50EC2" w:rsidP="00B50EC2">
      <w:pPr>
        <w:pStyle w:val="Prrafodelista"/>
        <w:numPr>
          <w:ilvl w:val="0"/>
          <w:numId w:val="10"/>
        </w:numPr>
        <w:rPr>
          <w:rFonts w:eastAsia="Times New Roman" w:cs="Calibri"/>
          <w:szCs w:val="22"/>
          <w:lang w:eastAsia="es-ES_tradnl"/>
        </w:rPr>
      </w:pPr>
      <w:r w:rsidRPr="00B50EC2">
        <w:rPr>
          <w:rFonts w:eastAsia="Times New Roman" w:cs="Calibri"/>
          <w:szCs w:val="22"/>
          <w:shd w:val="clear" w:color="auto" w:fill="FFFFFF"/>
          <w:lang w:eastAsia="es-ES_tradnl"/>
        </w:rPr>
        <w:t>Incorporación a la firma 2019</w:t>
      </w:r>
    </w:p>
    <w:p w14:paraId="392A25F6" w14:textId="7A04BDDA" w:rsidR="00B50EC2" w:rsidRPr="00B50EC2" w:rsidRDefault="00B50EC2" w:rsidP="00B50EC2">
      <w:pPr>
        <w:pStyle w:val="Prrafodelista"/>
        <w:numPr>
          <w:ilvl w:val="0"/>
          <w:numId w:val="10"/>
        </w:numPr>
        <w:rPr>
          <w:rFonts w:cs="Calibri"/>
          <w:szCs w:val="22"/>
          <w:lang w:val="es-ES"/>
        </w:rPr>
      </w:pPr>
      <w:r w:rsidRPr="00B50EC2">
        <w:rPr>
          <w:rFonts w:eastAsia="Times New Roman" w:cs="Calibri"/>
          <w:szCs w:val="22"/>
          <w:shd w:val="clear" w:color="auto" w:fill="FFFFFF"/>
          <w:lang w:eastAsia="es-ES_tradnl"/>
        </w:rPr>
        <w:t>Incorporación a la industria 2016</w:t>
      </w:r>
    </w:p>
    <w:p w14:paraId="7614E4E4" w14:textId="7347C07D" w:rsidR="00B50EC2" w:rsidRPr="00B50EC2" w:rsidRDefault="00B50EC2" w:rsidP="00B50EC2">
      <w:pPr>
        <w:ind w:left="360"/>
        <w:rPr>
          <w:rFonts w:cs="Calibri"/>
          <w:szCs w:val="22"/>
          <w:lang w:val="es-ES"/>
        </w:rPr>
      </w:pPr>
    </w:p>
    <w:p w14:paraId="62FB6C5C" w14:textId="5B81F27A" w:rsidR="00B50EC2" w:rsidRPr="00B50EC2" w:rsidRDefault="00B50EC2" w:rsidP="00B50EC2">
      <w:pPr>
        <w:rPr>
          <w:rFonts w:eastAsia="Calibri" w:cs="Calibri"/>
          <w:sz w:val="21"/>
          <w:szCs w:val="21"/>
        </w:rPr>
      </w:pPr>
      <w:r w:rsidRPr="00B50EC2">
        <w:rPr>
          <w:rFonts w:eastAsia="Calibri" w:cs="Calibri"/>
          <w:sz w:val="21"/>
          <w:szCs w:val="21"/>
        </w:rPr>
        <w:t xml:space="preserve">Gonzalo es </w:t>
      </w:r>
      <w:proofErr w:type="spellStart"/>
      <w:r w:rsidRPr="00B50EC2">
        <w:rPr>
          <w:rFonts w:eastAsia="Calibri" w:cs="Calibri"/>
          <w:sz w:val="21"/>
          <w:szCs w:val="21"/>
        </w:rPr>
        <w:t>Assistant</w:t>
      </w:r>
      <w:proofErr w:type="spellEnd"/>
      <w:r w:rsidRPr="00B50EC2">
        <w:rPr>
          <w:rFonts w:eastAsia="Calibri" w:cs="Calibri"/>
          <w:sz w:val="21"/>
          <w:szCs w:val="21"/>
        </w:rPr>
        <w:t xml:space="preserve"> PM de las estrategias de Deuda Corporativa </w:t>
      </w:r>
      <w:proofErr w:type="spellStart"/>
      <w:r w:rsidRPr="00B50EC2">
        <w:rPr>
          <w:rFonts w:eastAsia="Calibri" w:cs="Calibri"/>
          <w:sz w:val="21"/>
          <w:szCs w:val="21"/>
        </w:rPr>
        <w:t>Latam</w:t>
      </w:r>
      <w:proofErr w:type="spellEnd"/>
      <w:r w:rsidRPr="00B50EC2">
        <w:rPr>
          <w:rFonts w:eastAsia="Calibri" w:cs="Calibri"/>
          <w:sz w:val="21"/>
          <w:szCs w:val="21"/>
        </w:rPr>
        <w:t xml:space="preserve">. Anteriormente fue Co-Portafolio Manager para las estrategias de Renta Fija Argentina. En sus inicios en la firma, Gonzalo trabajó en la oficina de Buenos Aires como Analista de créditos provinciales y corporativos argentinos, y desde el año 2023 se encuentra trabajando en la oficina de Nueva York. Previo a su incorporación a la firma, fue </w:t>
      </w:r>
      <w:proofErr w:type="spellStart"/>
      <w:r w:rsidRPr="00B50EC2">
        <w:rPr>
          <w:rFonts w:eastAsia="Calibri" w:cs="Calibri"/>
          <w:sz w:val="21"/>
          <w:szCs w:val="21"/>
        </w:rPr>
        <w:t>Wealth</w:t>
      </w:r>
      <w:proofErr w:type="spellEnd"/>
      <w:r w:rsidRPr="00B50EC2">
        <w:rPr>
          <w:rFonts w:eastAsia="Calibri" w:cs="Calibri"/>
          <w:sz w:val="21"/>
          <w:szCs w:val="21"/>
        </w:rPr>
        <w:t xml:space="preserve"> Management </w:t>
      </w:r>
      <w:proofErr w:type="spellStart"/>
      <w:r w:rsidRPr="00B50EC2">
        <w:rPr>
          <w:rFonts w:eastAsia="Calibri" w:cs="Calibri"/>
          <w:sz w:val="21"/>
          <w:szCs w:val="21"/>
        </w:rPr>
        <w:t>Advisor</w:t>
      </w:r>
      <w:proofErr w:type="spellEnd"/>
      <w:r w:rsidRPr="00B50EC2">
        <w:rPr>
          <w:rFonts w:eastAsia="Calibri" w:cs="Calibri"/>
          <w:sz w:val="21"/>
          <w:szCs w:val="21"/>
        </w:rPr>
        <w:t xml:space="preserve"> en la Banca Privada de </w:t>
      </w:r>
      <w:proofErr w:type="spellStart"/>
      <w:r w:rsidRPr="00B50EC2">
        <w:rPr>
          <w:rFonts w:eastAsia="Calibri" w:cs="Calibri"/>
          <w:sz w:val="21"/>
          <w:szCs w:val="21"/>
        </w:rPr>
        <w:t>Allaria</w:t>
      </w:r>
      <w:proofErr w:type="spellEnd"/>
      <w:r w:rsidRPr="00B50EC2">
        <w:rPr>
          <w:rFonts w:eastAsia="Calibri" w:cs="Calibri"/>
          <w:sz w:val="21"/>
          <w:szCs w:val="21"/>
        </w:rPr>
        <w:t xml:space="preserve"> Ledesma.</w:t>
      </w:r>
    </w:p>
    <w:p w14:paraId="6278FBE2" w14:textId="069E13C4" w:rsidR="00B50EC2" w:rsidRPr="00B50EC2" w:rsidRDefault="00B50EC2" w:rsidP="00B50EC2">
      <w:pPr>
        <w:rPr>
          <w:rFonts w:eastAsia="Calibri" w:cs="Calibri"/>
          <w:sz w:val="21"/>
          <w:szCs w:val="21"/>
        </w:rPr>
      </w:pPr>
    </w:p>
    <w:p w14:paraId="5663ED9C" w14:textId="679E0D61" w:rsidR="00B50EC2" w:rsidRPr="00B50EC2" w:rsidRDefault="00B50EC2" w:rsidP="00B50EC2">
      <w:pPr>
        <w:rPr>
          <w:rFonts w:eastAsia="Calibri" w:cs="Calibri"/>
          <w:sz w:val="21"/>
          <w:szCs w:val="21"/>
        </w:rPr>
      </w:pPr>
      <w:r w:rsidRPr="00B50EC2">
        <w:rPr>
          <w:rFonts w:eastAsia="Calibri" w:cs="Calibri"/>
          <w:sz w:val="21"/>
          <w:szCs w:val="21"/>
        </w:rPr>
        <w:t xml:space="preserve">Gonzalo es Contador Público de la Universidad de Buenos Aires con un Master en Finanzas de la Universidad Torcuato Di Tella y es CFA </w:t>
      </w:r>
      <w:proofErr w:type="spellStart"/>
      <w:r w:rsidRPr="00B50EC2">
        <w:rPr>
          <w:rFonts w:eastAsia="Calibri" w:cs="Calibri"/>
          <w:sz w:val="21"/>
          <w:szCs w:val="21"/>
        </w:rPr>
        <w:t>Charterholder</w:t>
      </w:r>
      <w:proofErr w:type="spellEnd"/>
      <w:r w:rsidRPr="00B50EC2">
        <w:rPr>
          <w:rFonts w:eastAsia="Calibri" w:cs="Calibri"/>
          <w:sz w:val="21"/>
          <w:szCs w:val="21"/>
        </w:rPr>
        <w:t xml:space="preserve">. Actualmente se encuentra cursando un MBA en NYU Stern </w:t>
      </w:r>
      <w:proofErr w:type="spellStart"/>
      <w:r w:rsidRPr="00B50EC2">
        <w:rPr>
          <w:rFonts w:eastAsia="Calibri" w:cs="Calibri"/>
          <w:sz w:val="21"/>
          <w:szCs w:val="21"/>
        </w:rPr>
        <w:t>School</w:t>
      </w:r>
      <w:proofErr w:type="spellEnd"/>
      <w:r w:rsidRPr="00B50EC2">
        <w:rPr>
          <w:rFonts w:eastAsia="Calibri" w:cs="Calibri"/>
          <w:sz w:val="21"/>
          <w:szCs w:val="21"/>
        </w:rPr>
        <w:t xml:space="preserve"> of Business.</w:t>
      </w:r>
    </w:p>
    <w:p w14:paraId="1887C359" w14:textId="77777777" w:rsidR="00E01DB3" w:rsidRDefault="00E01DB3">
      <w:pPr>
        <w:jc w:val="left"/>
        <w:rPr>
          <w:b/>
          <w:bCs/>
          <w:color w:val="002FA7" w:themeColor="background2"/>
          <w:sz w:val="28"/>
          <w:szCs w:val="28"/>
        </w:rPr>
      </w:pPr>
      <w:r>
        <w:rPr>
          <w:b/>
          <w:bCs/>
          <w:color w:val="002FA7" w:themeColor="background2"/>
          <w:sz w:val="28"/>
          <w:szCs w:val="28"/>
        </w:rPr>
        <w:br w:type="page"/>
      </w:r>
    </w:p>
    <w:p w14:paraId="13EB3DB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B5DF6A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A3CBCB3"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54EAFCA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DACD5CC"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6F00BE99"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1E53BE8" w14:textId="77777777" w:rsidR="00CB1F33" w:rsidRDefault="00CB1F33" w:rsidP="004F4524">
      <w:pPr>
        <w:spacing w:before="240" w:after="240" w:line="276" w:lineRule="auto"/>
        <w:ind w:left="360" w:hanging="360"/>
        <w:rPr>
          <w:rFonts w:ascii="Aptos" w:hAnsi="Aptos"/>
          <w:b/>
          <w:bCs/>
          <w:color w:val="002FA7" w:themeColor="background2"/>
          <w:sz w:val="28"/>
          <w:szCs w:val="28"/>
        </w:rPr>
      </w:pPr>
    </w:p>
    <w:p w14:paraId="49FC0E60" w14:textId="0F234BF7"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1EADA298" w14:textId="142C09A6" w:rsidR="004F4524" w:rsidRPr="004F4524" w:rsidRDefault="004F4524" w:rsidP="004F4524">
      <w:pPr>
        <w:numPr>
          <w:ilvl w:val="0"/>
          <w:numId w:val="7"/>
        </w:numPr>
        <w:spacing w:line="276" w:lineRule="auto"/>
        <w:rPr>
          <w:szCs w:val="22"/>
        </w:rPr>
      </w:pPr>
      <w:r w:rsidRPr="004F4524">
        <w:rPr>
          <w:szCs w:val="22"/>
        </w:rPr>
        <w:t>La rentabilidad o ganancia obtenida en el pasado por los fondos, no garantiza que ellas se repitan en el futuro. L</w:t>
      </w:r>
      <w:r w:rsidRPr="004F4524">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064362DC" w14:textId="718ABCBD" w:rsidR="004F4524" w:rsidRPr="004F4524" w:rsidRDefault="004F4524" w:rsidP="004F4524">
      <w:pPr>
        <w:numPr>
          <w:ilvl w:val="0"/>
          <w:numId w:val="7"/>
        </w:numPr>
        <w:spacing w:line="276" w:lineRule="auto"/>
        <w:rPr>
          <w:szCs w:val="22"/>
        </w:rPr>
      </w:pPr>
      <w:r w:rsidRPr="004F4524">
        <w:rPr>
          <w:szCs w:val="22"/>
          <w:lang w:val="es-ES"/>
        </w:rPr>
        <w:t xml:space="preserve">La información contenida en este documento no corresponde a objetivos de inversión específicos, situación financiera o necesidades particulares de ningún receptor </w:t>
      </w:r>
      <w:proofErr w:type="gramStart"/>
      <w:r w:rsidRPr="004F4524">
        <w:rPr>
          <w:szCs w:val="22"/>
          <w:lang w:val="es-ES"/>
        </w:rPr>
        <w:t>del mismo</w:t>
      </w:r>
      <w:proofErr w:type="gramEnd"/>
      <w:r w:rsidRPr="004F4524">
        <w:rPr>
          <w:szCs w:val="22"/>
          <w:lang w:val="es-ES"/>
        </w:rPr>
        <w:t>.</w:t>
      </w:r>
    </w:p>
    <w:p w14:paraId="623449E4" w14:textId="22C115D0" w:rsidR="004F4524" w:rsidRPr="004F4524" w:rsidRDefault="004F4524" w:rsidP="004F4524">
      <w:pPr>
        <w:numPr>
          <w:ilvl w:val="0"/>
          <w:numId w:val="7"/>
        </w:numPr>
        <w:spacing w:line="276" w:lineRule="auto"/>
        <w:rPr>
          <w:szCs w:val="22"/>
        </w:rPr>
      </w:pPr>
      <w:r w:rsidRPr="004F4524">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0B03A3F8" w14:textId="3A53DC9E" w:rsidR="004F4524" w:rsidRPr="004F4524" w:rsidRDefault="004F4524" w:rsidP="004F4524">
      <w:pPr>
        <w:numPr>
          <w:ilvl w:val="0"/>
          <w:numId w:val="7"/>
        </w:numPr>
        <w:spacing w:line="276" w:lineRule="auto"/>
        <w:rPr>
          <w:szCs w:val="22"/>
        </w:rPr>
      </w:pPr>
      <w:r w:rsidRPr="004F4524">
        <w:rPr>
          <w:szCs w:val="22"/>
        </w:rPr>
        <w:t xml:space="preserve">El contenido de este documento está destinado al uso exclusivo del emisor y/o persona o entidad a quien va dirigida. </w:t>
      </w:r>
    </w:p>
    <w:p w14:paraId="25B62967" w14:textId="5F408FB6" w:rsidR="004F4524" w:rsidRPr="004F4524" w:rsidRDefault="004F4524" w:rsidP="004F4524">
      <w:pPr>
        <w:numPr>
          <w:ilvl w:val="0"/>
          <w:numId w:val="7"/>
        </w:numPr>
        <w:spacing w:line="276" w:lineRule="auto"/>
        <w:rPr>
          <w:szCs w:val="22"/>
        </w:rPr>
      </w:pPr>
      <w:r w:rsidRPr="004F4524">
        <w:rPr>
          <w:szCs w:val="22"/>
        </w:rPr>
        <w:t xml:space="preserve">Antes de realizar cualquier transacción de valores, los inversionistas deberán informarse sobre las condiciones de la operación, así como de los derechos, riesgos y responsabilidades implícitos en ella, por lo cual Vinci </w:t>
      </w:r>
      <w:proofErr w:type="spellStart"/>
      <w:r w:rsidRPr="004F4524">
        <w:rPr>
          <w:szCs w:val="22"/>
        </w:rPr>
        <w:t>Compass</w:t>
      </w:r>
      <w:proofErr w:type="spellEnd"/>
      <w:r w:rsidRPr="004F4524">
        <w:rPr>
          <w:szCs w:val="22"/>
        </w:rPr>
        <w:t xml:space="preserve"> y/o personas relacionadas (</w:t>
      </w:r>
      <w:r w:rsidRPr="004F4524">
        <w:rPr>
          <w:i/>
          <w:iCs/>
          <w:szCs w:val="22"/>
          <w:u w:val="single"/>
        </w:rPr>
        <w:t>“Vinci</w:t>
      </w:r>
      <w:r w:rsidRPr="004F4524">
        <w:rPr>
          <w:szCs w:val="22"/>
        </w:rPr>
        <w:t xml:space="preserve"> </w:t>
      </w:r>
      <w:proofErr w:type="spellStart"/>
      <w:r w:rsidRPr="004F4524">
        <w:rPr>
          <w:i/>
          <w:iCs/>
          <w:szCs w:val="22"/>
          <w:u w:val="single"/>
        </w:rPr>
        <w:t>Compass</w:t>
      </w:r>
      <w:proofErr w:type="spellEnd"/>
      <w:r w:rsidRPr="004F4524">
        <w:rPr>
          <w:szCs w:val="22"/>
        </w:rPr>
        <w:t xml:space="preserve">”) no asume responsabilidad alguna, ya sea directa o indirecta, derivada del uso de la información y/u opiniones contenidas en esta presentación. </w:t>
      </w:r>
    </w:p>
    <w:p w14:paraId="585F12C2" w14:textId="77777777" w:rsidR="004F4524" w:rsidRPr="004F4524" w:rsidRDefault="004F4524" w:rsidP="004F4524">
      <w:pPr>
        <w:numPr>
          <w:ilvl w:val="0"/>
          <w:numId w:val="7"/>
        </w:numPr>
        <w:spacing w:line="276" w:lineRule="auto"/>
        <w:rPr>
          <w:szCs w:val="22"/>
        </w:rPr>
      </w:pPr>
      <w:r w:rsidRPr="004F4524">
        <w:rPr>
          <w:szCs w:val="22"/>
        </w:rPr>
        <w:t xml:space="preserve">Las sociedades de Vinci </w:t>
      </w:r>
      <w:proofErr w:type="spellStart"/>
      <w:r w:rsidRPr="004F4524">
        <w:rPr>
          <w:szCs w:val="22"/>
        </w:rPr>
        <w:t>Compass</w:t>
      </w:r>
      <w:proofErr w:type="spellEnd"/>
      <w:r w:rsidRPr="004F4524">
        <w:rPr>
          <w:szCs w:val="22"/>
        </w:rPr>
        <w:t xml:space="preserve"> no ofrecen garantías, ni asumen responsabilidades sobre la información o por las decisiones de inversión adoptadas por terceros.</w:t>
      </w:r>
    </w:p>
    <w:p w14:paraId="525F7B1C" w14:textId="77777777" w:rsidR="004F4524" w:rsidRPr="004F4524" w:rsidRDefault="004F4524" w:rsidP="004F4524">
      <w:pPr>
        <w:numPr>
          <w:ilvl w:val="0"/>
          <w:numId w:val="7"/>
        </w:numPr>
        <w:spacing w:line="276" w:lineRule="auto"/>
        <w:rPr>
          <w:szCs w:val="22"/>
        </w:rPr>
      </w:pPr>
      <w:r w:rsidRPr="004F4524">
        <w:rPr>
          <w:szCs w:val="22"/>
        </w:rPr>
        <w:t xml:space="preserve">Cualquier uso, almacenamiento, divulgación, distribución o copia de la información contenida en este documento, está estrictamente prohibido y sancionado por la ley. </w:t>
      </w:r>
    </w:p>
    <w:sectPr w:rsidR="004F4524" w:rsidRPr="004F4524" w:rsidSect="00ED5512">
      <w:headerReference w:type="default" r:id="rId16"/>
      <w:footerReference w:type="even" r:id="rId17"/>
      <w:footerReference w:type="default" r:id="rId18"/>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4973" w14:textId="77777777" w:rsidR="00C432F1" w:rsidRDefault="00C432F1" w:rsidP="004F2CFA">
      <w:r>
        <w:separator/>
      </w:r>
    </w:p>
  </w:endnote>
  <w:endnote w:type="continuationSeparator" w:id="0">
    <w:p w14:paraId="3B8AEA3C" w14:textId="77777777" w:rsidR="00C432F1" w:rsidRDefault="00C432F1" w:rsidP="004F2CFA">
      <w:r>
        <w:continuationSeparator/>
      </w:r>
    </w:p>
  </w:endnote>
  <w:endnote w:type="continuationNotice" w:id="1">
    <w:p w14:paraId="11C43711" w14:textId="77777777" w:rsidR="00C432F1" w:rsidRDefault="00C43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60B0BDE5" w:rsidR="00A41394" w:rsidRPr="009059D8" w:rsidRDefault="009059D8" w:rsidP="005A6B87">
        <w:pPr>
          <w:tabs>
            <w:tab w:val="right" w:pos="9404"/>
          </w:tabs>
          <w:rPr>
            <w:rFonts w:eastAsiaTheme="minorEastAsia"/>
            <w:color w:val="002FA7" w:themeColor="background2"/>
            <w:sz w:val="16"/>
            <w:szCs w:val="16"/>
            <w:lang w:val="es-ES"/>
          </w:rPr>
        </w:pPr>
        <w:r>
          <w:rPr>
            <w:color w:val="7F7F7F" w:themeColor="text1" w:themeTint="80"/>
            <w:sz w:val="16"/>
            <w:szCs w:val="16"/>
            <w:lang w:val="es-ES"/>
          </w:rPr>
          <w:t xml:space="preserve">Estrategia Fondos Deuda </w:t>
        </w:r>
        <w:proofErr w:type="spellStart"/>
        <w:r>
          <w:rPr>
            <w:color w:val="7F7F7F" w:themeColor="text1" w:themeTint="80"/>
            <w:sz w:val="16"/>
            <w:szCs w:val="16"/>
            <w:lang w:val="es-ES"/>
          </w:rPr>
          <w:t>Latam</w:t>
        </w:r>
        <w:proofErr w:type="spellEnd"/>
        <w:r w:rsidR="005A6B87" w:rsidRPr="009059D8">
          <w:rPr>
            <w:color w:val="7F7F7F" w:themeColor="text1" w:themeTint="80"/>
            <w:sz w:val="16"/>
            <w:szCs w:val="16"/>
            <w:lang w:val="es-ES"/>
          </w:rPr>
          <w:t xml:space="preserve">   </w:t>
        </w:r>
        <w:r w:rsidR="005A6B87" w:rsidRPr="009059D8">
          <w:rPr>
            <w:color w:val="002FA7" w:themeColor="background2"/>
            <w:sz w:val="16"/>
            <w:szCs w:val="16"/>
            <w:lang w:val="es-ES"/>
          </w:rPr>
          <w:t xml:space="preserve"> I    </w:t>
        </w:r>
        <w:r w:rsidR="005A6B87" w:rsidRPr="009059D8">
          <w:rPr>
            <w:color w:val="7F7F7F" w:themeColor="text1" w:themeTint="80"/>
            <w:sz w:val="16"/>
            <w:szCs w:val="16"/>
            <w:lang w:val="es-ES"/>
          </w:rPr>
          <w:t xml:space="preserve">Vinci </w:t>
        </w:r>
        <w:proofErr w:type="spellStart"/>
        <w:r w:rsidR="005A6B87" w:rsidRPr="009059D8">
          <w:rPr>
            <w:color w:val="7F7F7F" w:themeColor="text1" w:themeTint="80"/>
            <w:sz w:val="16"/>
            <w:szCs w:val="16"/>
            <w:lang w:val="es-ES"/>
          </w:rPr>
          <w:t>Compass</w:t>
        </w:r>
        <w:proofErr w:type="spellEnd"/>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F91B8" w14:textId="77777777" w:rsidR="00C432F1" w:rsidRDefault="00C432F1" w:rsidP="004F2CFA">
      <w:r>
        <w:separator/>
      </w:r>
    </w:p>
  </w:footnote>
  <w:footnote w:type="continuationSeparator" w:id="0">
    <w:p w14:paraId="75D630F7" w14:textId="77777777" w:rsidR="00C432F1" w:rsidRDefault="00C432F1" w:rsidP="004F2CFA">
      <w:r>
        <w:continuationSeparator/>
      </w:r>
    </w:p>
  </w:footnote>
  <w:footnote w:type="continuationNotice" w:id="1">
    <w:p w14:paraId="60358076" w14:textId="77777777" w:rsidR="00C432F1" w:rsidRDefault="00C43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20EA40CD" w14:textId="791119DF" w:rsidR="00F17F05" w:rsidRPr="00DC7E7B" w:rsidRDefault="00F17F05" w:rsidP="00FB4010">
                          <w:pPr>
                            <w:rPr>
                              <w:rFonts w:ascii="Aptos" w:hAnsi="Aptos"/>
                              <w:b/>
                              <w:bCs/>
                              <w:color w:val="FFFFFF" w:themeColor="background1"/>
                            </w:rPr>
                          </w:pPr>
                          <w:r w:rsidRPr="00DC7E7B">
                            <w:rPr>
                              <w:rFonts w:ascii="Aptos" w:hAnsi="Aptos"/>
                              <w:b/>
                              <w:bCs/>
                              <w:color w:val="FFFFFF" w:themeColor="background1"/>
                              <w:sz w:val="28"/>
                              <w:szCs w:val="28"/>
                            </w:rPr>
                            <w:t xml:space="preserve">Estrategia Fondos Deuda </w:t>
                          </w:r>
                          <w:proofErr w:type="spellStart"/>
                          <w:r w:rsidRPr="0074714A">
                            <w:rPr>
                              <w:rFonts w:ascii="Aptos" w:hAnsi="Aptos"/>
                              <w:b/>
                              <w:bCs/>
                              <w:color w:val="FFFFFF" w:themeColor="background1"/>
                              <w:sz w:val="28"/>
                              <w:szCs w:val="28"/>
                            </w:rPr>
                            <w:t>Latam</w:t>
                          </w:r>
                          <w:proofErr w:type="spellEnd"/>
                          <w:r w:rsidRPr="0074714A">
                            <w:rPr>
                              <w:rFonts w:ascii="Aptos" w:hAnsi="Aptos"/>
                              <w:b/>
                              <w:bCs/>
                              <w:color w:val="FFFFFF" w:themeColor="background1"/>
                              <w:sz w:val="28"/>
                              <w:szCs w:val="28"/>
                              <w:vertAlign w:val="superscript"/>
                            </w:rPr>
                            <w:t>(1)</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7"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20EA40CD" w14:textId="791119DF" w:rsidR="00F17F05" w:rsidRPr="00DC7E7B" w:rsidRDefault="00F17F05" w:rsidP="00FB4010">
                    <w:pPr>
                      <w:rPr>
                        <w:rFonts w:ascii="Aptos" w:hAnsi="Aptos"/>
                        <w:b/>
                        <w:bCs/>
                        <w:color w:val="FFFFFF" w:themeColor="background1"/>
                      </w:rPr>
                    </w:pPr>
                    <w:r w:rsidRPr="00DC7E7B">
                      <w:rPr>
                        <w:rFonts w:ascii="Aptos" w:hAnsi="Aptos"/>
                        <w:b/>
                        <w:bCs/>
                        <w:color w:val="FFFFFF" w:themeColor="background1"/>
                        <w:sz w:val="28"/>
                        <w:szCs w:val="28"/>
                      </w:rPr>
                      <w:t xml:space="preserve">Estrategia Fondos Deuda </w:t>
                    </w:r>
                    <w:proofErr w:type="spellStart"/>
                    <w:r w:rsidRPr="0074714A">
                      <w:rPr>
                        <w:rFonts w:ascii="Aptos" w:hAnsi="Aptos"/>
                        <w:b/>
                        <w:bCs/>
                        <w:color w:val="FFFFFF" w:themeColor="background1"/>
                        <w:sz w:val="28"/>
                        <w:szCs w:val="28"/>
                      </w:rPr>
                      <w:t>Latam</w:t>
                    </w:r>
                    <w:proofErr w:type="spellEnd"/>
                    <w:r w:rsidRPr="0074714A">
                      <w:rPr>
                        <w:rFonts w:ascii="Aptos" w:hAnsi="Aptos"/>
                        <w:b/>
                        <w:bCs/>
                        <w:color w:val="FFFFFF" w:themeColor="background1"/>
                        <w:sz w:val="28"/>
                        <w:szCs w:val="28"/>
                        <w:vertAlign w:val="superscript"/>
                      </w:rPr>
                      <w:t>(1)</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9"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9"/>
  </w:num>
  <w:num w:numId="2" w16cid:durableId="1223440373">
    <w:abstractNumId w:val="6"/>
  </w:num>
  <w:num w:numId="3" w16cid:durableId="2006088281">
    <w:abstractNumId w:val="0"/>
  </w:num>
  <w:num w:numId="4" w16cid:durableId="2042054444">
    <w:abstractNumId w:val="4"/>
  </w:num>
  <w:num w:numId="5" w16cid:durableId="829642487">
    <w:abstractNumId w:val="2"/>
  </w:num>
  <w:num w:numId="6" w16cid:durableId="983046640">
    <w:abstractNumId w:val="5"/>
  </w:num>
  <w:num w:numId="7" w16cid:durableId="1989816672">
    <w:abstractNumId w:val="8"/>
  </w:num>
  <w:num w:numId="8" w16cid:durableId="164445650">
    <w:abstractNumId w:val="1"/>
  </w:num>
  <w:num w:numId="9" w16cid:durableId="1337996717">
    <w:abstractNumId w:val="7"/>
  </w:num>
  <w:num w:numId="10" w16cid:durableId="50240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0BF2"/>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765C"/>
    <w:rsid w:val="001831DF"/>
    <w:rsid w:val="0019069F"/>
    <w:rsid w:val="001A1907"/>
    <w:rsid w:val="001A2467"/>
    <w:rsid w:val="001A2D34"/>
    <w:rsid w:val="001B0CD8"/>
    <w:rsid w:val="001B19B0"/>
    <w:rsid w:val="001B2B47"/>
    <w:rsid w:val="001B5383"/>
    <w:rsid w:val="001B57BF"/>
    <w:rsid w:val="001B60FD"/>
    <w:rsid w:val="001C5EDA"/>
    <w:rsid w:val="001D07A9"/>
    <w:rsid w:val="001E18C4"/>
    <w:rsid w:val="001E5CA2"/>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1DB5"/>
    <w:rsid w:val="007424CC"/>
    <w:rsid w:val="0074714A"/>
    <w:rsid w:val="007474D4"/>
    <w:rsid w:val="00760142"/>
    <w:rsid w:val="00767951"/>
    <w:rsid w:val="007708B6"/>
    <w:rsid w:val="00772D1E"/>
    <w:rsid w:val="00773C4D"/>
    <w:rsid w:val="00777B50"/>
    <w:rsid w:val="00780222"/>
    <w:rsid w:val="007845FD"/>
    <w:rsid w:val="00784948"/>
    <w:rsid w:val="00791E5C"/>
    <w:rsid w:val="007975D3"/>
    <w:rsid w:val="007A1467"/>
    <w:rsid w:val="007A233A"/>
    <w:rsid w:val="007A757C"/>
    <w:rsid w:val="007A799E"/>
    <w:rsid w:val="007B62C1"/>
    <w:rsid w:val="007C25C5"/>
    <w:rsid w:val="007C3094"/>
    <w:rsid w:val="007C42EB"/>
    <w:rsid w:val="007D12AB"/>
    <w:rsid w:val="007D1D8D"/>
    <w:rsid w:val="007D4640"/>
    <w:rsid w:val="007D7D44"/>
    <w:rsid w:val="007E085B"/>
    <w:rsid w:val="007E2E07"/>
    <w:rsid w:val="007E35F7"/>
    <w:rsid w:val="007E572C"/>
    <w:rsid w:val="007E60CE"/>
    <w:rsid w:val="007E774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513EE"/>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34D3"/>
    <w:rsid w:val="009567FA"/>
    <w:rsid w:val="00956CD7"/>
    <w:rsid w:val="00963059"/>
    <w:rsid w:val="009704FC"/>
    <w:rsid w:val="00971046"/>
    <w:rsid w:val="00993BD5"/>
    <w:rsid w:val="009974B4"/>
    <w:rsid w:val="00997A42"/>
    <w:rsid w:val="00997E63"/>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6AD6"/>
    <w:rsid w:val="00AD05FA"/>
    <w:rsid w:val="00AD228F"/>
    <w:rsid w:val="00AD380E"/>
    <w:rsid w:val="00AD4D52"/>
    <w:rsid w:val="00AD4F81"/>
    <w:rsid w:val="00AD51D5"/>
    <w:rsid w:val="00AD75CF"/>
    <w:rsid w:val="00AE373A"/>
    <w:rsid w:val="00AE3C15"/>
    <w:rsid w:val="00AE559D"/>
    <w:rsid w:val="00AF1925"/>
    <w:rsid w:val="00AF29EA"/>
    <w:rsid w:val="00AF2D52"/>
    <w:rsid w:val="00AF7BD4"/>
    <w:rsid w:val="00B06C41"/>
    <w:rsid w:val="00B071AF"/>
    <w:rsid w:val="00B07A5A"/>
    <w:rsid w:val="00B12196"/>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2F1"/>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611E"/>
    <w:rsid w:val="00CD1810"/>
    <w:rsid w:val="00CD3463"/>
    <w:rsid w:val="00CE4241"/>
    <w:rsid w:val="00CF0EEB"/>
    <w:rsid w:val="00CF133C"/>
    <w:rsid w:val="00CF17CD"/>
    <w:rsid w:val="00CF26D6"/>
    <w:rsid w:val="00CF5685"/>
    <w:rsid w:val="00D06A73"/>
    <w:rsid w:val="00D11C60"/>
    <w:rsid w:val="00D12D33"/>
    <w:rsid w:val="00D15078"/>
    <w:rsid w:val="00D16B85"/>
    <w:rsid w:val="00D1782F"/>
    <w:rsid w:val="00D20352"/>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606A5"/>
    <w:rsid w:val="00D65AC5"/>
    <w:rsid w:val="00D6699B"/>
    <w:rsid w:val="00D67722"/>
    <w:rsid w:val="00D7137A"/>
    <w:rsid w:val="00D73213"/>
    <w:rsid w:val="00D758AC"/>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2ACB"/>
    <w:rsid w:val="00E63637"/>
    <w:rsid w:val="00E67720"/>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5FF7"/>
    <w:rsid w:val="00F46ACB"/>
    <w:rsid w:val="00F47CCD"/>
    <w:rsid w:val="00F51217"/>
    <w:rsid w:val="00F521A5"/>
    <w:rsid w:val="00F53715"/>
    <w:rsid w:val="00F550FC"/>
    <w:rsid w:val="00F55566"/>
    <w:rsid w:val="00F55757"/>
    <w:rsid w:val="00F5667C"/>
    <w:rsid w:val="00F57CD1"/>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C71AB"/>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compass.com/es/chile/fondos-asset-management/deuda/deuda-latam/compass-latam-high-yield-usd-fondo-de-inver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deuda/deuda-latam/latam-corporate-debt-fondo-inversion/"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3.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customXml/itemProps4.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4</cp:revision>
  <dcterms:created xsi:type="dcterms:W3CDTF">2025-07-15T15:34:00Z</dcterms:created>
  <dcterms:modified xsi:type="dcterms:W3CDTF">2025-07-15T16:47:00Z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