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66A47" w14:textId="78E2B3A9" w:rsidR="00CF5685" w:rsidRPr="00FB4010" w:rsidRDefault="00022EBC" w:rsidP="00022EBC">
      <w:pPr>
        <w:autoSpaceDE w:val="0"/>
        <w:autoSpaceDN w:val="0"/>
        <w:adjustRightInd w:val="0"/>
        <w:spacing w:after="240" w:line="276" w:lineRule="auto"/>
        <w:rPr>
          <w:rFonts w:ascii="Aptos" w:hAnsi="Aptos" w:cs="Calibri"/>
          <w:b/>
          <w:bCs/>
          <w:color w:val="002FA7" w:themeColor="background2"/>
          <w:sz w:val="28"/>
          <w:szCs w:val="28"/>
        </w:rPr>
      </w:pPr>
      <w:r w:rsidRPr="00FB4010">
        <w:rPr>
          <w:rFonts w:ascii="Aptos" w:hAnsi="Aptos" w:cs="Calibri"/>
          <w:b/>
          <w:bCs/>
          <w:color w:val="002FA7" w:themeColor="background2"/>
          <w:sz w:val="28"/>
          <w:szCs w:val="28"/>
        </w:rPr>
        <w:t xml:space="preserve">Performance </w:t>
      </w:r>
      <w:r>
        <w:rPr>
          <w:rFonts w:ascii="Aptos" w:hAnsi="Aptos" w:cs="Calibri"/>
          <w:b/>
          <w:bCs/>
          <w:color w:val="002FA7" w:themeColor="background2"/>
          <w:sz w:val="28"/>
          <w:szCs w:val="28"/>
        </w:rPr>
        <w:t>a</w:t>
      </w:r>
      <w:r w:rsidRPr="00FB4010">
        <w:rPr>
          <w:rFonts w:ascii="Aptos" w:hAnsi="Aptos" w:cs="Calibri"/>
          <w:b/>
          <w:bCs/>
          <w:color w:val="002FA7" w:themeColor="background2"/>
          <w:sz w:val="28"/>
          <w:szCs w:val="28"/>
        </w:rPr>
        <w:t>nd Outlook</w:t>
      </w:r>
    </w:p>
    <w:p w14:paraId="1FE0EFB4" w14:textId="77777777" w:rsidR="00D6593A" w:rsidRPr="00D6593A" w:rsidRDefault="00D6593A" w:rsidP="00F50257">
      <w:pPr>
        <w:spacing w:before="240" w:after="240" w:line="276" w:lineRule="auto"/>
        <w:rPr>
          <w:rFonts w:cs="Calibri"/>
          <w:szCs w:val="22"/>
        </w:rPr>
      </w:pPr>
      <w:r w:rsidRPr="00D6593A">
        <w:rPr>
          <w:rFonts w:cs="Calibri"/>
          <w:szCs w:val="22"/>
        </w:rPr>
        <w:t>El segundo trimestre del año continúa con retornos positivos para la clase de activo, pero algo más moderadas que lo que se vio durante el primer semestre. El periodo comenzó con el famoso “</w:t>
      </w:r>
      <w:r w:rsidRPr="00D6593A">
        <w:rPr>
          <w:rFonts w:cs="Calibri"/>
          <w:i/>
          <w:iCs/>
          <w:szCs w:val="22"/>
        </w:rPr>
        <w:t>liberation day”</w:t>
      </w:r>
      <w:r w:rsidRPr="00D6593A">
        <w:rPr>
          <w:rFonts w:cs="Calibri"/>
          <w:szCs w:val="22"/>
        </w:rPr>
        <w:t>, que trajo consigo un holgado anuncio de tarifas entre Estados Unidos y el resto del mundo. Esto provocó en el mercado un aumento en las proyecciones de recesión para EE.UU., aumentando la exposición en activos de refugio, provocando caídas importantes en la tasa de interés. Sin embargo, la guerra comercial tendría un impacto acotado en el PIB de Chile y podría generar presiones deflacionarias para los bienes nacionales.</w:t>
      </w:r>
    </w:p>
    <w:p w14:paraId="13589B38" w14:textId="77777777" w:rsidR="00D6593A" w:rsidRPr="00D6593A" w:rsidRDefault="00D6593A" w:rsidP="00F50257">
      <w:pPr>
        <w:spacing w:before="240" w:after="240" w:line="276" w:lineRule="auto"/>
        <w:rPr>
          <w:rFonts w:cs="Calibri"/>
          <w:szCs w:val="22"/>
        </w:rPr>
      </w:pPr>
      <w:r w:rsidRPr="00D6593A">
        <w:rPr>
          <w:rFonts w:cs="Calibri"/>
          <w:szCs w:val="22"/>
        </w:rPr>
        <w:t xml:space="preserve">En Banco Central (BCCh) no sorprendió al mercado, mantuvo la tasa de interés en 5,0% de manera unánime, pero destacando que la política monetaria debería avanzar hacia los niveles de tasa neutral en los próximos trimestres. El panorama externo permanece dominado por la incertidumbre, pero los efectos en la economía serían acotados. La inflación subyacente se encuentra dentro del rango meta del banco central y éste estima que la inflación </w:t>
      </w:r>
      <w:r w:rsidRPr="00D6593A">
        <w:rPr>
          <w:rFonts w:cs="Calibri"/>
          <w:i/>
          <w:iCs/>
          <w:szCs w:val="22"/>
        </w:rPr>
        <w:t>headline</w:t>
      </w:r>
      <w:r w:rsidRPr="00D6593A">
        <w:rPr>
          <w:rFonts w:cs="Calibri"/>
          <w:szCs w:val="22"/>
        </w:rPr>
        <w:t xml:space="preserve"> terminará el año en 3,7%</w:t>
      </w:r>
    </w:p>
    <w:p w14:paraId="49476A1E" w14:textId="77777777" w:rsidR="00D6593A" w:rsidRPr="00D6593A" w:rsidRDefault="00D6593A" w:rsidP="00F50257">
      <w:pPr>
        <w:spacing w:before="240" w:after="240" w:line="276" w:lineRule="auto"/>
        <w:rPr>
          <w:rFonts w:cs="Calibri"/>
          <w:szCs w:val="22"/>
        </w:rPr>
      </w:pPr>
      <w:r w:rsidRPr="00D6593A">
        <w:rPr>
          <w:rFonts w:cs="Calibri"/>
          <w:szCs w:val="22"/>
        </w:rPr>
        <w:t>En cuando al crecimiento, las expectativas para el 2025 se corrigen al alza en medio de un buen inicio de año, destacando una mejora en los sectores de comercio, minería y servicios. Por otro lado, el mercado laboral muestra datos preocupantes, que podría implicar una demanda interna más deprimida en el mediano plazo y por lo tanto menores presiones inflacionarias.</w:t>
      </w:r>
    </w:p>
    <w:p w14:paraId="53BED245" w14:textId="77777777" w:rsidR="00D6593A" w:rsidRPr="00D6593A" w:rsidRDefault="00D6593A" w:rsidP="00F50257">
      <w:pPr>
        <w:spacing w:before="240" w:after="240" w:line="276" w:lineRule="auto"/>
        <w:rPr>
          <w:rFonts w:cs="Calibri"/>
          <w:szCs w:val="22"/>
        </w:rPr>
      </w:pPr>
      <w:r w:rsidRPr="00D6593A">
        <w:rPr>
          <w:rFonts w:cs="Calibri"/>
          <w:szCs w:val="22"/>
        </w:rPr>
        <w:t>En el segundo trimestre de 2025, Compass Deuda Plus Fondo de Inversión tuvo un retorno de 1,5%</w:t>
      </w:r>
      <w:r w:rsidRPr="00D6593A">
        <w:rPr>
          <w:rFonts w:cs="Calibri"/>
          <w:szCs w:val="22"/>
          <w:vertAlign w:val="superscript"/>
        </w:rPr>
        <w:t>(2)</w:t>
      </w:r>
      <w:r w:rsidRPr="00D6593A">
        <w:rPr>
          <w:rFonts w:cs="Calibri"/>
          <w:szCs w:val="22"/>
        </w:rPr>
        <w:t>, mientras que el Fondo Mutuo Compass Deuda Chilena presentó una rentabilidad de 1,4%</w:t>
      </w:r>
      <w:r w:rsidRPr="00D6593A">
        <w:rPr>
          <w:rFonts w:cs="Calibri"/>
          <w:szCs w:val="22"/>
          <w:vertAlign w:val="superscript"/>
        </w:rPr>
        <w:t>(3)</w:t>
      </w:r>
      <w:r w:rsidRPr="00D6593A">
        <w:rPr>
          <w:rFonts w:cs="Calibri"/>
          <w:szCs w:val="22"/>
        </w:rPr>
        <w:t>, por otra parte, el Fondo Mutuo Compass Protección mostró un rendimiento del 1,4%</w:t>
      </w:r>
      <w:r w:rsidRPr="00D6593A">
        <w:rPr>
          <w:rFonts w:cs="Calibri"/>
          <w:szCs w:val="22"/>
          <w:vertAlign w:val="superscript"/>
        </w:rPr>
        <w:t>(4)</w:t>
      </w:r>
      <w:r w:rsidRPr="00D6593A">
        <w:rPr>
          <w:rFonts w:cs="Calibri"/>
          <w:szCs w:val="22"/>
        </w:rPr>
        <w:t xml:space="preserve"> y finalmente el Fondo Mutuo Compass Liquidez rentó 1,2%</w:t>
      </w:r>
      <w:r w:rsidRPr="00D6593A">
        <w:rPr>
          <w:rFonts w:cs="Calibri"/>
          <w:szCs w:val="22"/>
          <w:vertAlign w:val="superscript"/>
        </w:rPr>
        <w:t>(5)</w:t>
      </w:r>
      <w:r w:rsidRPr="00D6593A">
        <w:rPr>
          <w:rFonts w:cs="Calibri"/>
          <w:szCs w:val="22"/>
        </w:rPr>
        <w:t>.</w:t>
      </w:r>
    </w:p>
    <w:p w14:paraId="5A9584F2" w14:textId="4405C658" w:rsidR="00D6593A" w:rsidRPr="00D6593A" w:rsidRDefault="00D6593A" w:rsidP="00F50257">
      <w:pPr>
        <w:spacing w:before="240" w:after="240" w:line="276" w:lineRule="auto"/>
        <w:rPr>
          <w:rFonts w:cs="Calibri"/>
          <w:szCs w:val="22"/>
        </w:rPr>
      </w:pPr>
      <w:r w:rsidRPr="00D6593A">
        <w:rPr>
          <w:rFonts w:cs="Calibri"/>
          <w:szCs w:val="22"/>
        </w:rPr>
        <w:t>Para mayor información de los retornos de los fondos, por favor revisar sus factsheets en los siguientes enlaces</w:t>
      </w:r>
      <w:r w:rsidRPr="00D6593A">
        <w:rPr>
          <w:rFonts w:cs="Calibri"/>
          <w:szCs w:val="22"/>
          <w:u w:val="single"/>
        </w:rPr>
        <w:t xml:space="preserve">: </w:t>
      </w:r>
      <w:hyperlink r:id="rId11" w:history="1">
        <w:r w:rsidRPr="007D1290">
          <w:rPr>
            <w:rStyle w:val="Hipervnculo"/>
            <w:rFonts w:ascii="Aptos" w:hAnsi="Aptos" w:cs="Calibri"/>
            <w:szCs w:val="22"/>
          </w:rPr>
          <w:t>Compass Deuda Plus Fondo de Inversión | Compass Group</w:t>
        </w:r>
      </w:hyperlink>
      <w:r w:rsidRPr="007D1290">
        <w:rPr>
          <w:rFonts w:ascii="Aptos" w:hAnsi="Aptos" w:cs="Calibri"/>
          <w:szCs w:val="22"/>
          <w:u w:val="single"/>
        </w:rPr>
        <w:t xml:space="preserve">, </w:t>
      </w:r>
      <w:hyperlink r:id="rId12" w:history="1">
        <w:r w:rsidRPr="007D1290">
          <w:rPr>
            <w:rStyle w:val="Hipervnculo"/>
            <w:rFonts w:ascii="Aptos" w:hAnsi="Aptos" w:cs="Calibri"/>
            <w:szCs w:val="22"/>
          </w:rPr>
          <w:t>Fondo Mutuo Compass Deuda Chilena | Compass Group</w:t>
        </w:r>
      </w:hyperlink>
      <w:r w:rsidRPr="007D1290">
        <w:rPr>
          <w:rFonts w:ascii="Aptos" w:hAnsi="Aptos" w:cs="Calibri"/>
          <w:szCs w:val="22"/>
          <w:u w:val="single"/>
        </w:rPr>
        <w:t xml:space="preserve">, </w:t>
      </w:r>
      <w:hyperlink r:id="rId13" w:history="1">
        <w:r w:rsidRPr="007D1290">
          <w:rPr>
            <w:rStyle w:val="Hipervnculo"/>
            <w:rFonts w:ascii="Aptos" w:hAnsi="Aptos" w:cs="Calibri"/>
            <w:szCs w:val="22"/>
          </w:rPr>
          <w:t>Fondo Mutuo Compass Protección | Compass Group</w:t>
        </w:r>
      </w:hyperlink>
      <w:r w:rsidRPr="007D1290">
        <w:rPr>
          <w:rFonts w:ascii="Aptos" w:hAnsi="Aptos" w:cs="Calibri"/>
          <w:szCs w:val="22"/>
          <w:u w:val="single"/>
        </w:rPr>
        <w:t xml:space="preserve">, </w:t>
      </w:r>
      <w:hyperlink r:id="rId14" w:history="1">
        <w:r w:rsidRPr="007D1290">
          <w:rPr>
            <w:rStyle w:val="Hipervnculo"/>
            <w:rFonts w:ascii="Aptos" w:hAnsi="Aptos" w:cs="Calibri"/>
            <w:szCs w:val="22"/>
          </w:rPr>
          <w:t>Fondo Mutuo Compass Liquidez | Compass Group</w:t>
        </w:r>
      </w:hyperlink>
    </w:p>
    <w:p w14:paraId="6CBAF037" w14:textId="3AE13F98" w:rsidR="00E01DB3" w:rsidRDefault="00E7092F">
      <w:pPr>
        <w:jc w:val="left"/>
        <w:rPr>
          <w:rFonts w:cs="Calibri"/>
          <w:szCs w:val="22"/>
        </w:rPr>
      </w:pPr>
      <w:r w:rsidRPr="00F0243B">
        <w:rPr>
          <w:rFonts w:ascii="Calibri" w:hAnsi="Calibri" w:cs="Calibri"/>
          <w:b/>
          <w:bCs/>
          <w:noProof/>
        </w:rPr>
        <mc:AlternateContent>
          <mc:Choice Requires="wps">
            <w:drawing>
              <wp:anchor distT="0" distB="0" distL="114300" distR="114300" simplePos="0" relativeHeight="251660299" behindDoc="0" locked="0" layoutInCell="1" allowOverlap="1" wp14:anchorId="2B4DD851" wp14:editId="37E79F28">
                <wp:simplePos x="0" y="0"/>
                <wp:positionH relativeFrom="page">
                  <wp:posOffset>896620</wp:posOffset>
                </wp:positionH>
                <wp:positionV relativeFrom="paragraph">
                  <wp:posOffset>1276350</wp:posOffset>
                </wp:positionV>
                <wp:extent cx="6400800" cy="73660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6400800" cy="736600"/>
                        </a:xfrm>
                        <a:prstGeom prst="rect">
                          <a:avLst/>
                        </a:prstGeom>
                        <a:noFill/>
                        <a:ln w="6350">
                          <a:noFill/>
                        </a:ln>
                      </wps:spPr>
                      <wps:txbx>
                        <w:txbxContent>
                          <w:p w14:paraId="39CC862D" w14:textId="77777777" w:rsidR="00E7092F" w:rsidRPr="00E7092F" w:rsidRDefault="00E7092F" w:rsidP="00E7092F">
                            <w:pPr>
                              <w:pStyle w:val="Prrafodelista"/>
                              <w:numPr>
                                <w:ilvl w:val="0"/>
                                <w:numId w:val="2"/>
                              </w:numPr>
                              <w:ind w:left="142" w:right="-518" w:hanging="142"/>
                              <w:rPr>
                                <w:rFonts w:eastAsia="Times New Roman" w:cs="Calibri"/>
                                <w:sz w:val="14"/>
                                <w:szCs w:val="14"/>
                                <w:shd w:val="clear" w:color="auto" w:fill="FFFFFF"/>
                                <w:lang w:eastAsia="es-ES_tradnl"/>
                              </w:rPr>
                            </w:pPr>
                            <w:r w:rsidRPr="00E7092F">
                              <w:rPr>
                                <w:rFonts w:eastAsia="Times New Roman" w:cs="Calibri"/>
                                <w:sz w:val="14"/>
                                <w:szCs w:val="14"/>
                                <w:shd w:val="clear" w:color="auto" w:fill="FFFFFF"/>
                                <w:lang w:eastAsia="es-ES_tradnl"/>
                              </w:rPr>
                              <w:t>Estrategia Fondos Deuda Chilena comprende a “Compass Deuda Plus Fondo de Inversión”, “Fondo Mutuo Compass Deuda Chilena”, “Fondo Mutuo Compass Protección”, “Fondo Mutuo Compass Liquidez”</w:t>
                            </w:r>
                          </w:p>
                          <w:p w14:paraId="764447FB" w14:textId="77777777" w:rsidR="00E7092F" w:rsidRPr="00E7092F" w:rsidRDefault="00E7092F" w:rsidP="00E7092F">
                            <w:pPr>
                              <w:pStyle w:val="Prrafodelista"/>
                              <w:numPr>
                                <w:ilvl w:val="0"/>
                                <w:numId w:val="2"/>
                              </w:numPr>
                              <w:ind w:left="142" w:right="-518" w:hanging="142"/>
                              <w:rPr>
                                <w:rFonts w:eastAsia="Times New Roman" w:cs="Calibri"/>
                                <w:sz w:val="14"/>
                                <w:szCs w:val="14"/>
                                <w:shd w:val="clear" w:color="auto" w:fill="FFFFFF"/>
                                <w:lang w:eastAsia="es-ES_tradnl"/>
                              </w:rPr>
                            </w:pPr>
                            <w:r w:rsidRPr="007D1290">
                              <w:rPr>
                                <w:rFonts w:ascii="Aptos" w:eastAsia="Times New Roman" w:hAnsi="Aptos" w:cs="Calibri"/>
                                <w:b/>
                                <w:bCs/>
                                <w:sz w:val="14"/>
                                <w:szCs w:val="14"/>
                                <w:shd w:val="clear" w:color="auto" w:fill="FFFFFF"/>
                                <w:lang w:eastAsia="es-ES_tradnl"/>
                              </w:rPr>
                              <w:t>Fuente:</w:t>
                            </w:r>
                            <w:r w:rsidRPr="00E7092F">
                              <w:rPr>
                                <w:rFonts w:eastAsia="Times New Roman" w:cs="Calibri"/>
                                <w:sz w:val="14"/>
                                <w:szCs w:val="14"/>
                                <w:shd w:val="clear" w:color="auto" w:fill="FFFFFF"/>
                                <w:lang w:eastAsia="es-ES_tradnl"/>
                              </w:rPr>
                              <w:t xml:space="preserve"> Vinci Compass, datos al 30 de junio de 2025, Compass Deuda Plus Fondo de Inversión serie B</w:t>
                            </w:r>
                          </w:p>
                          <w:p w14:paraId="348A6E02" w14:textId="77777777" w:rsidR="00E7092F" w:rsidRPr="00E7092F" w:rsidRDefault="00E7092F" w:rsidP="00E7092F">
                            <w:pPr>
                              <w:pStyle w:val="Prrafodelista"/>
                              <w:numPr>
                                <w:ilvl w:val="0"/>
                                <w:numId w:val="2"/>
                              </w:numPr>
                              <w:ind w:left="142" w:right="-518" w:hanging="142"/>
                              <w:rPr>
                                <w:rFonts w:eastAsia="Times New Roman" w:cs="Calibri"/>
                                <w:sz w:val="14"/>
                                <w:szCs w:val="14"/>
                                <w:shd w:val="clear" w:color="auto" w:fill="FFFFFF"/>
                                <w:lang w:eastAsia="es-ES_tradnl"/>
                              </w:rPr>
                            </w:pPr>
                            <w:r w:rsidRPr="007D1290">
                              <w:rPr>
                                <w:rFonts w:ascii="Aptos" w:eastAsia="Times New Roman" w:hAnsi="Aptos" w:cs="Calibri"/>
                                <w:b/>
                                <w:bCs/>
                                <w:sz w:val="14"/>
                                <w:szCs w:val="14"/>
                                <w:shd w:val="clear" w:color="auto" w:fill="FFFFFF"/>
                                <w:lang w:eastAsia="es-ES_tradnl"/>
                              </w:rPr>
                              <w:t>Fuente:</w:t>
                            </w:r>
                            <w:r w:rsidRPr="00E7092F">
                              <w:rPr>
                                <w:rFonts w:eastAsia="Times New Roman" w:cs="Calibri"/>
                                <w:sz w:val="14"/>
                                <w:szCs w:val="14"/>
                                <w:shd w:val="clear" w:color="auto" w:fill="FFFFFF"/>
                                <w:lang w:eastAsia="es-ES_tradnl"/>
                              </w:rPr>
                              <w:t xml:space="preserve"> Vinci Compass, datos al 30 de junio de 2025, Fondo Mutuo Compass Deuda Chilena serie B</w:t>
                            </w:r>
                          </w:p>
                          <w:p w14:paraId="3DAB0616" w14:textId="77777777" w:rsidR="00E7092F" w:rsidRPr="00E7092F" w:rsidRDefault="00E7092F" w:rsidP="00E7092F">
                            <w:pPr>
                              <w:pStyle w:val="Prrafodelista"/>
                              <w:numPr>
                                <w:ilvl w:val="0"/>
                                <w:numId w:val="2"/>
                              </w:numPr>
                              <w:ind w:left="142" w:right="-518" w:hanging="142"/>
                              <w:rPr>
                                <w:rFonts w:eastAsia="Times New Roman" w:cs="Calibri"/>
                                <w:sz w:val="14"/>
                                <w:szCs w:val="14"/>
                                <w:shd w:val="clear" w:color="auto" w:fill="FFFFFF"/>
                                <w:lang w:eastAsia="es-ES_tradnl"/>
                              </w:rPr>
                            </w:pPr>
                            <w:r w:rsidRPr="007D1290">
                              <w:rPr>
                                <w:rFonts w:ascii="Aptos" w:eastAsia="Times New Roman" w:hAnsi="Aptos" w:cs="Calibri"/>
                                <w:b/>
                                <w:bCs/>
                                <w:sz w:val="14"/>
                                <w:szCs w:val="14"/>
                                <w:shd w:val="clear" w:color="auto" w:fill="FFFFFF"/>
                                <w:lang w:eastAsia="es-ES_tradnl"/>
                              </w:rPr>
                              <w:t>Fuente:</w:t>
                            </w:r>
                            <w:r w:rsidRPr="00E7092F">
                              <w:rPr>
                                <w:rFonts w:eastAsia="Times New Roman" w:cs="Calibri"/>
                                <w:sz w:val="14"/>
                                <w:szCs w:val="14"/>
                                <w:shd w:val="clear" w:color="auto" w:fill="FFFFFF"/>
                                <w:lang w:eastAsia="es-ES_tradnl"/>
                              </w:rPr>
                              <w:t xml:space="preserve"> Vinci Compass, datos al 30 de junio de 2025, Fondo Mutuo Compass Protección serie D</w:t>
                            </w:r>
                          </w:p>
                          <w:p w14:paraId="06E94EB1" w14:textId="7C2FABE2" w:rsidR="00F50257" w:rsidRPr="00E7092F" w:rsidRDefault="00E7092F" w:rsidP="00E7092F">
                            <w:pPr>
                              <w:pStyle w:val="Prrafodelista"/>
                              <w:numPr>
                                <w:ilvl w:val="0"/>
                                <w:numId w:val="2"/>
                              </w:numPr>
                              <w:ind w:left="142" w:right="-518" w:hanging="142"/>
                              <w:rPr>
                                <w:rFonts w:eastAsia="Times New Roman" w:cs="Calibri"/>
                                <w:sz w:val="14"/>
                                <w:szCs w:val="14"/>
                                <w:shd w:val="clear" w:color="auto" w:fill="FFFFFF"/>
                                <w:lang w:eastAsia="es-ES_tradnl"/>
                              </w:rPr>
                            </w:pPr>
                            <w:r w:rsidRPr="007D1290">
                              <w:rPr>
                                <w:rFonts w:ascii="Aptos" w:eastAsia="Times New Roman" w:hAnsi="Aptos" w:cs="Calibri"/>
                                <w:b/>
                                <w:bCs/>
                                <w:sz w:val="14"/>
                                <w:szCs w:val="14"/>
                                <w:shd w:val="clear" w:color="auto" w:fill="FFFFFF"/>
                                <w:lang w:eastAsia="es-ES_tradnl"/>
                              </w:rPr>
                              <w:t>Fuente:</w:t>
                            </w:r>
                            <w:r w:rsidRPr="00E7092F">
                              <w:rPr>
                                <w:rFonts w:eastAsia="Times New Roman" w:cs="Calibri"/>
                                <w:sz w:val="14"/>
                                <w:szCs w:val="14"/>
                                <w:shd w:val="clear" w:color="auto" w:fill="FFFFFF"/>
                                <w:lang w:eastAsia="es-ES_tradnl"/>
                              </w:rPr>
                              <w:t xml:space="preserve"> Vinci Compass, datos al 30 de junio de 2025, Fondo Mutuo Compass Liquidez serie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4DD851" id="_x0000_t202" coordsize="21600,21600" o:spt="202" path="m,l,21600r21600,l21600,xe">
                <v:stroke joinstyle="miter"/>
                <v:path gradientshapeok="t" o:connecttype="rect"/>
              </v:shapetype>
              <v:shape id="Cuadro de texto 17" o:spid="_x0000_s1026" type="#_x0000_t202" style="position:absolute;margin-left:70.6pt;margin-top:100.5pt;width:7in;height:58pt;z-index:25166029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" filled="f" stroked="f" strokeweight=".5pt">
                <v:textbox>
                  <w:txbxContent>
                    <w:p w14:paraId="39CC862D" w14:textId="77777777" w:rsidR="00E7092F" w:rsidRPr="00E7092F" w:rsidRDefault="00E7092F" w:rsidP="00E7092F">
                      <w:pPr>
                        <w:pStyle w:val="Prrafodelista"/>
                        <w:numPr>
                          <w:ilvl w:val="0"/>
                          <w:numId w:val="2"/>
                        </w:numPr>
                        <w:ind w:left="142" w:right="-518" w:hanging="142"/>
                        <w:rPr>
                          <w:rFonts w:eastAsia="Times New Roman" w:cs="Calibri"/>
                          <w:sz w:val="14"/>
                          <w:szCs w:val="14"/>
                          <w:shd w:val="clear" w:color="auto" w:fill="FFFFFF"/>
                          <w:lang w:eastAsia="es-ES_tradnl"/>
                        </w:rPr>
                      </w:pPr>
                      <w:r w:rsidRPr="00E7092F">
                        <w:rPr>
                          <w:rFonts w:eastAsia="Times New Roman" w:cs="Calibri"/>
                          <w:sz w:val="14"/>
                          <w:szCs w:val="14"/>
                          <w:shd w:val="clear" w:color="auto" w:fill="FFFFFF"/>
                          <w:lang w:eastAsia="es-ES_tradnl"/>
                        </w:rPr>
                        <w:t>Estrategia Fondos Deuda Chilena comprende a “Compass Deuda Plus Fondo de Inversión”, “Fondo Mutuo Compass Deuda Chilena”, “Fondo Mutuo Compass Protección”, “Fondo Mutuo Compass Liquidez”</w:t>
                      </w:r>
                    </w:p>
                    <w:p w14:paraId="764447FB" w14:textId="77777777" w:rsidR="00E7092F" w:rsidRPr="00E7092F" w:rsidRDefault="00E7092F" w:rsidP="00E7092F">
                      <w:pPr>
                        <w:pStyle w:val="Prrafodelista"/>
                        <w:numPr>
                          <w:ilvl w:val="0"/>
                          <w:numId w:val="2"/>
                        </w:numPr>
                        <w:ind w:left="142" w:right="-518" w:hanging="142"/>
                        <w:rPr>
                          <w:rFonts w:eastAsia="Times New Roman" w:cs="Calibri"/>
                          <w:sz w:val="14"/>
                          <w:szCs w:val="14"/>
                          <w:shd w:val="clear" w:color="auto" w:fill="FFFFFF"/>
                          <w:lang w:eastAsia="es-ES_tradnl"/>
                        </w:rPr>
                      </w:pPr>
                      <w:r w:rsidRPr="007D1290">
                        <w:rPr>
                          <w:rFonts w:ascii="Aptos" w:eastAsia="Times New Roman" w:hAnsi="Aptos" w:cs="Calibri"/>
                          <w:b/>
                          <w:bCs/>
                          <w:sz w:val="14"/>
                          <w:szCs w:val="14"/>
                          <w:shd w:val="clear" w:color="auto" w:fill="FFFFFF"/>
                          <w:lang w:eastAsia="es-ES_tradnl"/>
                        </w:rPr>
                        <w:t>Fuente:</w:t>
                      </w:r>
                      <w:r w:rsidRPr="00E7092F">
                        <w:rPr>
                          <w:rFonts w:eastAsia="Times New Roman" w:cs="Calibri"/>
                          <w:sz w:val="14"/>
                          <w:szCs w:val="14"/>
                          <w:shd w:val="clear" w:color="auto" w:fill="FFFFFF"/>
                          <w:lang w:eastAsia="es-ES_tradnl"/>
                        </w:rPr>
                        <w:t xml:space="preserve"> Vinci Compass, datos al 30 de junio de 2025, Compass Deuda Plus Fondo de Inversión serie B</w:t>
                      </w:r>
                    </w:p>
                    <w:p w14:paraId="348A6E02" w14:textId="77777777" w:rsidR="00E7092F" w:rsidRPr="00E7092F" w:rsidRDefault="00E7092F" w:rsidP="00E7092F">
                      <w:pPr>
                        <w:pStyle w:val="Prrafodelista"/>
                        <w:numPr>
                          <w:ilvl w:val="0"/>
                          <w:numId w:val="2"/>
                        </w:numPr>
                        <w:ind w:left="142" w:right="-518" w:hanging="142"/>
                        <w:rPr>
                          <w:rFonts w:eastAsia="Times New Roman" w:cs="Calibri"/>
                          <w:sz w:val="14"/>
                          <w:szCs w:val="14"/>
                          <w:shd w:val="clear" w:color="auto" w:fill="FFFFFF"/>
                          <w:lang w:eastAsia="es-ES_tradnl"/>
                        </w:rPr>
                      </w:pPr>
                      <w:r w:rsidRPr="007D1290">
                        <w:rPr>
                          <w:rFonts w:ascii="Aptos" w:eastAsia="Times New Roman" w:hAnsi="Aptos" w:cs="Calibri"/>
                          <w:b/>
                          <w:bCs/>
                          <w:sz w:val="14"/>
                          <w:szCs w:val="14"/>
                          <w:shd w:val="clear" w:color="auto" w:fill="FFFFFF"/>
                          <w:lang w:eastAsia="es-ES_tradnl"/>
                        </w:rPr>
                        <w:t>Fuente:</w:t>
                      </w:r>
                      <w:r w:rsidRPr="00E7092F">
                        <w:rPr>
                          <w:rFonts w:eastAsia="Times New Roman" w:cs="Calibri"/>
                          <w:sz w:val="14"/>
                          <w:szCs w:val="14"/>
                          <w:shd w:val="clear" w:color="auto" w:fill="FFFFFF"/>
                          <w:lang w:eastAsia="es-ES_tradnl"/>
                        </w:rPr>
                        <w:t xml:space="preserve"> Vinci Compass, datos al 30 de junio de 2025, Fondo Mutuo Compass Deuda Chilena serie B</w:t>
                      </w:r>
                    </w:p>
                    <w:p w14:paraId="3DAB0616" w14:textId="77777777" w:rsidR="00E7092F" w:rsidRPr="00E7092F" w:rsidRDefault="00E7092F" w:rsidP="00E7092F">
                      <w:pPr>
                        <w:pStyle w:val="Prrafodelista"/>
                        <w:numPr>
                          <w:ilvl w:val="0"/>
                          <w:numId w:val="2"/>
                        </w:numPr>
                        <w:ind w:left="142" w:right="-518" w:hanging="142"/>
                        <w:rPr>
                          <w:rFonts w:eastAsia="Times New Roman" w:cs="Calibri"/>
                          <w:sz w:val="14"/>
                          <w:szCs w:val="14"/>
                          <w:shd w:val="clear" w:color="auto" w:fill="FFFFFF"/>
                          <w:lang w:eastAsia="es-ES_tradnl"/>
                        </w:rPr>
                      </w:pPr>
                      <w:r w:rsidRPr="007D1290">
                        <w:rPr>
                          <w:rFonts w:ascii="Aptos" w:eastAsia="Times New Roman" w:hAnsi="Aptos" w:cs="Calibri"/>
                          <w:b/>
                          <w:bCs/>
                          <w:sz w:val="14"/>
                          <w:szCs w:val="14"/>
                          <w:shd w:val="clear" w:color="auto" w:fill="FFFFFF"/>
                          <w:lang w:eastAsia="es-ES_tradnl"/>
                        </w:rPr>
                        <w:t>Fuente:</w:t>
                      </w:r>
                      <w:r w:rsidRPr="00E7092F">
                        <w:rPr>
                          <w:rFonts w:eastAsia="Times New Roman" w:cs="Calibri"/>
                          <w:sz w:val="14"/>
                          <w:szCs w:val="14"/>
                          <w:shd w:val="clear" w:color="auto" w:fill="FFFFFF"/>
                          <w:lang w:eastAsia="es-ES_tradnl"/>
                        </w:rPr>
                        <w:t xml:space="preserve"> Vinci Compass, datos al 30 de junio de 2025, Fondo Mutuo Compass Protección serie D</w:t>
                      </w:r>
                    </w:p>
                    <w:p w14:paraId="06E94EB1" w14:textId="7C2FABE2" w:rsidR="00F50257" w:rsidRPr="00E7092F" w:rsidRDefault="00E7092F" w:rsidP="00E7092F">
                      <w:pPr>
                        <w:pStyle w:val="Prrafodelista"/>
                        <w:numPr>
                          <w:ilvl w:val="0"/>
                          <w:numId w:val="2"/>
                        </w:numPr>
                        <w:ind w:left="142" w:right="-518" w:hanging="142"/>
                        <w:rPr>
                          <w:rFonts w:eastAsia="Times New Roman" w:cs="Calibri"/>
                          <w:sz w:val="14"/>
                          <w:szCs w:val="14"/>
                          <w:shd w:val="clear" w:color="auto" w:fill="FFFFFF"/>
                          <w:lang w:eastAsia="es-ES_tradnl"/>
                        </w:rPr>
                      </w:pPr>
                      <w:r w:rsidRPr="007D1290">
                        <w:rPr>
                          <w:rFonts w:ascii="Aptos" w:eastAsia="Times New Roman" w:hAnsi="Aptos" w:cs="Calibri"/>
                          <w:b/>
                          <w:bCs/>
                          <w:sz w:val="14"/>
                          <w:szCs w:val="14"/>
                          <w:shd w:val="clear" w:color="auto" w:fill="FFFFFF"/>
                          <w:lang w:eastAsia="es-ES_tradnl"/>
                        </w:rPr>
                        <w:t>Fuente:</w:t>
                      </w:r>
                      <w:r w:rsidRPr="00E7092F">
                        <w:rPr>
                          <w:rFonts w:eastAsia="Times New Roman" w:cs="Calibri"/>
                          <w:sz w:val="14"/>
                          <w:szCs w:val="14"/>
                          <w:shd w:val="clear" w:color="auto" w:fill="FFFFFF"/>
                          <w:lang w:eastAsia="es-ES_tradnl"/>
                        </w:rPr>
                        <w:t xml:space="preserve"> Vinci Compass, datos al 30 de junio de 2025, Fondo Mutuo Compass Liquidez serie D</w:t>
                      </w:r>
                    </w:p>
                  </w:txbxContent>
                </v:textbox>
                <w10:wrap anchorx="page"/>
              </v:shape>
            </w:pict>
          </mc:Fallback>
        </mc:AlternateContent>
      </w:r>
      <w:r>
        <w:rPr>
          <w:rFonts w:ascii="Calibri" w:hAnsi="Calibri" w:cs="Calibri"/>
          <w:b/>
          <w:bCs/>
          <w:noProof/>
        </w:rPr>
        <mc:AlternateContent>
          <mc:Choice Requires="wps">
            <w:drawing>
              <wp:anchor distT="0" distB="0" distL="114300" distR="114300" simplePos="0" relativeHeight="251661323" behindDoc="0" locked="0" layoutInCell="1" allowOverlap="1" wp14:anchorId="469AC28B" wp14:editId="6C6D4B1E">
                <wp:simplePos x="0" y="0"/>
                <wp:positionH relativeFrom="column">
                  <wp:posOffset>102870</wp:posOffset>
                </wp:positionH>
                <wp:positionV relativeFrom="paragraph">
                  <wp:posOffset>1228090</wp:posOffset>
                </wp:positionV>
                <wp:extent cx="1806278" cy="0"/>
                <wp:effectExtent l="0" t="0" r="10160" b="12700"/>
                <wp:wrapNone/>
                <wp:docPr id="299094956" name="Conector recto 15"/>
                <wp:cNvGraphicFramePr/>
                <a:graphic xmlns:a="http://schemas.openxmlformats.org/drawingml/2006/main">
                  <a:graphicData uri="http://schemas.microsoft.com/office/word/2010/wordprocessingShape">
                    <wps:wsp>
                      <wps:cNvCnPr/>
                      <wps:spPr>
                        <a:xfrm>
                          <a:off x="0" y="0"/>
                          <a:ext cx="1806278"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177A6E" id="Conector recto 15" o:spid="_x0000_s1026" style="position:absolute;z-index:251661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96.7pt" to="150.35pt,9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" strokecolor="#002fa7 [3214]" strokeweight=".5pt">
                <v:stroke joinstyle="miter"/>
              </v:line>
            </w:pict>
          </mc:Fallback>
        </mc:AlternateContent>
      </w:r>
      <w:r w:rsidR="00E01DB3">
        <w:rPr>
          <w:rFonts w:cs="Calibri"/>
          <w:szCs w:val="22"/>
        </w:rPr>
        <w:br w:type="page"/>
      </w:r>
    </w:p>
    <w:p w14:paraId="04F01DCC" w14:textId="76253CBB" w:rsidR="00C75C94" w:rsidRPr="004E31EF" w:rsidRDefault="00D2291D" w:rsidP="00022EBC">
      <w:pPr>
        <w:spacing w:before="240" w:after="240" w:line="276" w:lineRule="auto"/>
        <w:rPr>
          <w:rFonts w:cs="Calibri"/>
          <w:color w:val="002FA7" w:themeColor="background2"/>
          <w:sz w:val="2"/>
          <w:szCs w:val="2"/>
        </w:rPr>
      </w:pPr>
      <w:r>
        <w:rPr>
          <w:rFonts w:ascii="Calibri Light" w:hAnsi="Calibri Light" w:cs="Calibri Light"/>
          <w:noProof/>
          <w:sz w:val="21"/>
          <w:szCs w:val="21"/>
        </w:rPr>
        <w:lastRenderedPageBreak/>
        <w:drawing>
          <wp:anchor distT="0" distB="0" distL="114300" distR="114300" simplePos="0" relativeHeight="251663371" behindDoc="1" locked="0" layoutInCell="1" allowOverlap="1" wp14:anchorId="4D198A3B" wp14:editId="15A9E923">
            <wp:simplePos x="0" y="0"/>
            <wp:positionH relativeFrom="column">
              <wp:posOffset>1270</wp:posOffset>
            </wp:positionH>
            <wp:positionV relativeFrom="paragraph">
              <wp:posOffset>141605</wp:posOffset>
            </wp:positionV>
            <wp:extent cx="910590" cy="910590"/>
            <wp:effectExtent l="0" t="0" r="3810" b="3810"/>
            <wp:wrapSquare wrapText="bothSides"/>
            <wp:docPr id="53979172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910590" cy="910590"/>
                    </a:xfrm>
                    <a:prstGeom prst="rect">
                      <a:avLst/>
                    </a:prstGeom>
                    <a:noFill/>
                  </pic:spPr>
                </pic:pic>
              </a:graphicData>
            </a:graphic>
            <wp14:sizeRelH relativeFrom="page">
              <wp14:pctWidth>0</wp14:pctWidth>
            </wp14:sizeRelH>
            <wp14:sizeRelV relativeFrom="page">
              <wp14:pctHeight>0</wp14:pctHeight>
            </wp14:sizeRelV>
          </wp:anchor>
        </w:drawing>
      </w:r>
      <w:r w:rsidR="00E7092F" w:rsidRPr="004E31EF">
        <w:rPr>
          <w:rFonts w:ascii="Calibri Light" w:hAnsi="Calibri Light" w:cs="Calibri Light"/>
          <w:noProof/>
          <w:sz w:val="21"/>
          <w:szCs w:val="21"/>
        </w:rPr>
        <w:t xml:space="preserve"> </w:t>
      </w:r>
    </w:p>
    <w:p w14:paraId="55596889" w14:textId="0F060CC9" w:rsidR="00E7092F" w:rsidRPr="007D1290" w:rsidRDefault="00E7092F" w:rsidP="00E7092F">
      <w:pPr>
        <w:ind w:left="1701"/>
        <w:rPr>
          <w:rFonts w:ascii="Aptos" w:hAnsi="Aptos" w:cs="Calibri"/>
          <w:b/>
          <w:bCs/>
          <w:color w:val="002FA7" w:themeColor="background2"/>
          <w:sz w:val="24"/>
        </w:rPr>
      </w:pPr>
      <w:r w:rsidRPr="007D1290">
        <w:rPr>
          <w:rFonts w:ascii="Aptos" w:hAnsi="Aptos" w:cs="Calibri"/>
          <w:b/>
          <w:bCs/>
          <w:color w:val="002FA7" w:themeColor="background2"/>
          <w:sz w:val="24"/>
        </w:rPr>
        <w:t>Sebastián Ojeda</w:t>
      </w:r>
    </w:p>
    <w:p w14:paraId="32A24E3A" w14:textId="00843E00" w:rsidR="009704FC" w:rsidRPr="007D1290" w:rsidRDefault="00E6159D" w:rsidP="009704FC">
      <w:pPr>
        <w:ind w:left="1701"/>
      </w:pPr>
      <w:r w:rsidRPr="007D1290">
        <w:rPr>
          <w:color w:val="404040"/>
        </w:rPr>
        <w:t xml:space="preserve">Portfolio Manager Renta Fija - Chile </w:t>
      </w:r>
    </w:p>
    <w:p w14:paraId="67D266DD" w14:textId="1EC7D9BA" w:rsidR="009704FC" w:rsidRPr="009704FC" w:rsidRDefault="009704FC" w:rsidP="009B7F9E">
      <w:pPr>
        <w:pStyle w:val="Prrafodelista"/>
        <w:numPr>
          <w:ilvl w:val="0"/>
          <w:numId w:val="3"/>
        </w:numPr>
        <w:spacing w:before="240" w:after="240"/>
        <w:ind w:left="1701" w:firstLine="0"/>
        <w:rPr>
          <w:rFonts w:eastAsia="Times New Roman" w:cs="Calibri"/>
          <w:color w:val="404040"/>
          <w:szCs w:val="22"/>
          <w:lang w:eastAsia="es-ES_tradnl"/>
        </w:rPr>
      </w:pPr>
      <w:r w:rsidRPr="009704FC">
        <w:rPr>
          <w:rFonts w:eastAsia="Times New Roman" w:cs="Calibri"/>
          <w:color w:val="404040"/>
          <w:szCs w:val="22"/>
          <w:shd w:val="clear" w:color="auto" w:fill="FFFFFF"/>
          <w:lang w:eastAsia="es-ES_tradnl"/>
        </w:rPr>
        <w:t>Incorporación a la firma 20</w:t>
      </w:r>
      <w:r w:rsidR="00E6159D">
        <w:rPr>
          <w:rFonts w:eastAsia="Times New Roman" w:cs="Calibri"/>
          <w:color w:val="404040"/>
          <w:szCs w:val="22"/>
          <w:shd w:val="clear" w:color="auto" w:fill="FFFFFF"/>
          <w:lang w:eastAsia="es-ES_tradnl"/>
        </w:rPr>
        <w:t>20</w:t>
      </w:r>
    </w:p>
    <w:p w14:paraId="0DC112CA" w14:textId="349C0098" w:rsidR="009704FC" w:rsidRPr="009704FC" w:rsidRDefault="009704FC" w:rsidP="009B7F9E">
      <w:pPr>
        <w:pStyle w:val="Prrafodelista"/>
        <w:numPr>
          <w:ilvl w:val="0"/>
          <w:numId w:val="3"/>
        </w:numPr>
        <w:spacing w:before="240" w:after="240"/>
        <w:ind w:left="1701" w:firstLine="0"/>
        <w:rPr>
          <w:rFonts w:eastAsia="Times New Roman" w:cs="Calibri"/>
          <w:color w:val="404040"/>
          <w:szCs w:val="22"/>
          <w:lang w:eastAsia="es-ES_tradnl"/>
        </w:rPr>
      </w:pPr>
      <w:r w:rsidRPr="009704FC">
        <w:rPr>
          <w:rFonts w:eastAsia="Times New Roman" w:cs="Calibri"/>
          <w:color w:val="404040"/>
          <w:szCs w:val="22"/>
          <w:shd w:val="clear" w:color="auto" w:fill="FFFFFF"/>
          <w:lang w:eastAsia="es-ES_tradnl"/>
        </w:rPr>
        <w:t>Incorporación a la industria 20</w:t>
      </w:r>
      <w:r w:rsidR="00E6159D">
        <w:rPr>
          <w:rFonts w:eastAsia="Times New Roman" w:cs="Calibri"/>
          <w:color w:val="404040"/>
          <w:szCs w:val="22"/>
          <w:shd w:val="clear" w:color="auto" w:fill="FFFFFF"/>
          <w:lang w:eastAsia="es-ES_tradnl"/>
        </w:rPr>
        <w:t>17</w:t>
      </w:r>
    </w:p>
    <w:p w14:paraId="7CC70C02" w14:textId="77777777" w:rsidR="00E6159D" w:rsidRPr="00E6159D" w:rsidRDefault="00E6159D" w:rsidP="00E6159D">
      <w:pPr>
        <w:tabs>
          <w:tab w:val="left" w:pos="1020"/>
        </w:tabs>
        <w:spacing w:before="240" w:after="240"/>
        <w:rPr>
          <w:rFonts w:eastAsia="Times New Roman" w:cs="Calibri"/>
          <w:szCs w:val="22"/>
          <w:shd w:val="clear" w:color="auto" w:fill="FFFFFF"/>
          <w:lang w:val="es-MX" w:eastAsia="es-ES_tradnl"/>
        </w:rPr>
      </w:pPr>
      <w:r w:rsidRPr="00E6159D">
        <w:rPr>
          <w:rFonts w:eastAsia="Times New Roman" w:cs="Calibri"/>
          <w:szCs w:val="22"/>
          <w:shd w:val="clear" w:color="auto" w:fill="FFFFFF"/>
          <w:lang w:val="es-MX" w:eastAsia="es-ES_tradnl"/>
        </w:rPr>
        <w:t>Sebastián es Portfolio Manager de renta fija chilena. Previamente, se desempeñó como portfolio manager en la unidad de soluciones globales (GSU), donde también trabajó como Analista de Inversiones. Previo a su incorporación a la firma, fue operador de renta fija en BICE Inversiones en el área de Altos Patrimonios.</w:t>
      </w:r>
    </w:p>
    <w:p w14:paraId="47F5E9B2" w14:textId="77777777" w:rsidR="00E6159D" w:rsidRPr="00E6159D" w:rsidRDefault="00E6159D" w:rsidP="00E6159D">
      <w:pPr>
        <w:tabs>
          <w:tab w:val="left" w:pos="1020"/>
        </w:tabs>
        <w:spacing w:before="240" w:after="240"/>
        <w:rPr>
          <w:rFonts w:eastAsia="Times New Roman" w:cs="Calibri"/>
          <w:szCs w:val="22"/>
          <w:shd w:val="clear" w:color="auto" w:fill="FFFFFF"/>
          <w:lang w:val="es-MX" w:eastAsia="es-ES_tradnl"/>
        </w:rPr>
      </w:pPr>
      <w:r w:rsidRPr="00E6159D">
        <w:rPr>
          <w:rFonts w:eastAsia="Times New Roman" w:cs="Calibri"/>
          <w:szCs w:val="22"/>
          <w:shd w:val="clear" w:color="auto" w:fill="FFFFFF"/>
          <w:lang w:val="es-MX" w:eastAsia="es-ES_tradnl"/>
        </w:rPr>
        <w:t>Sebastián es Ingeniero Comercial titulado de la Universidad de Chile también posee un master en dirección financiera en la Universidad Adolfo Ibáñez.</w:t>
      </w:r>
    </w:p>
    <w:p w14:paraId="41E53BE8" w14:textId="77777777" w:rsidR="00CB1F33" w:rsidRDefault="00CB1F33" w:rsidP="004F4524">
      <w:pPr>
        <w:spacing w:before="240" w:after="240" w:line="276" w:lineRule="auto"/>
        <w:ind w:left="360" w:hanging="360"/>
        <w:rPr>
          <w:rFonts w:ascii="Aptos" w:hAnsi="Aptos"/>
          <w:b/>
          <w:bCs/>
          <w:color w:val="002FA7" w:themeColor="background2"/>
          <w:sz w:val="28"/>
          <w:szCs w:val="28"/>
        </w:rPr>
      </w:pPr>
    </w:p>
    <w:p w14:paraId="49FC0E60" w14:textId="0F234BF7" w:rsidR="004F4524" w:rsidRPr="006E201B" w:rsidRDefault="004F4524" w:rsidP="004F4524">
      <w:pPr>
        <w:spacing w:before="240" w:after="240" w:line="276" w:lineRule="auto"/>
        <w:ind w:left="360" w:hanging="360"/>
        <w:rPr>
          <w:rFonts w:ascii="Aptos" w:hAnsi="Aptos"/>
          <w:b/>
          <w:bCs/>
          <w:color w:val="B5283D"/>
          <w:sz w:val="28"/>
          <w:szCs w:val="28"/>
        </w:rPr>
      </w:pPr>
      <w:r w:rsidRPr="006E201B">
        <w:rPr>
          <w:rFonts w:ascii="Aptos" w:hAnsi="Aptos"/>
          <w:b/>
          <w:bCs/>
          <w:color w:val="002FA7" w:themeColor="background2"/>
          <w:sz w:val="28"/>
          <w:szCs w:val="28"/>
        </w:rPr>
        <w:t>Importante</w:t>
      </w:r>
    </w:p>
    <w:p w14:paraId="39918D73" w14:textId="77777777" w:rsidR="00E6159D" w:rsidRPr="00E6159D" w:rsidRDefault="00E6159D" w:rsidP="00E6159D">
      <w:pPr>
        <w:numPr>
          <w:ilvl w:val="0"/>
          <w:numId w:val="7"/>
        </w:numPr>
        <w:spacing w:line="276" w:lineRule="auto"/>
        <w:rPr>
          <w:szCs w:val="22"/>
        </w:rPr>
      </w:pPr>
      <w:r w:rsidRPr="00E6159D">
        <w:rPr>
          <w:szCs w:val="22"/>
        </w:rPr>
        <w:t>La rentabilidad o ganancia obtenida en el pasado por los fondos, no garantiza que ellas se repitan en el futuro. L</w:t>
      </w:r>
      <w:r w:rsidRPr="00E6159D">
        <w:rPr>
          <w:szCs w:val="22"/>
          <w:lang w:val="es-ES"/>
        </w:rPr>
        <w:t>os valores de las cuotas de los fondos son variables. Infórmese de las características esenciales de la inversión en fondos, las que se encuentran contenidas en su respectivo reglamento interno. El riesgo y retorno de los instrumentos componentes de la cartera de los fondos presentados, no necesariamente corresponde al riesgo y retorno de los instrumentos representados por los índices de referencia.</w:t>
      </w:r>
    </w:p>
    <w:p w14:paraId="1FEC3F69" w14:textId="77777777" w:rsidR="00E6159D" w:rsidRPr="00E6159D" w:rsidRDefault="00E6159D" w:rsidP="00E6159D">
      <w:pPr>
        <w:numPr>
          <w:ilvl w:val="0"/>
          <w:numId w:val="7"/>
        </w:numPr>
        <w:spacing w:line="276" w:lineRule="auto"/>
        <w:rPr>
          <w:szCs w:val="22"/>
        </w:rPr>
      </w:pPr>
      <w:r w:rsidRPr="00E6159D">
        <w:rPr>
          <w:szCs w:val="22"/>
          <w:lang w:val="es-ES"/>
        </w:rPr>
        <w:t>La información contenida en este documento no corresponde a objetivos de inversión específicos, situación financiera o necesidades particulares de ningún receptor del mismo.</w:t>
      </w:r>
    </w:p>
    <w:p w14:paraId="45494F53" w14:textId="77777777" w:rsidR="00E6159D" w:rsidRPr="00E6159D" w:rsidRDefault="00E6159D" w:rsidP="00E6159D">
      <w:pPr>
        <w:numPr>
          <w:ilvl w:val="0"/>
          <w:numId w:val="7"/>
        </w:numPr>
        <w:spacing w:line="276" w:lineRule="auto"/>
        <w:rPr>
          <w:szCs w:val="22"/>
        </w:rPr>
      </w:pPr>
      <w:r w:rsidRPr="00E6159D">
        <w:rPr>
          <w:szCs w:val="22"/>
        </w:rPr>
        <w:t xml:space="preserve">Las opiniones contenidas en esta presentación no deben considerarse como una oferta o una solicitud de compra o de venta, de suscripción o rescate, de aporte o retiro de ningún tipo de valores, sino que se publican con un propósito meramente informativo para nuestros clientes. </w:t>
      </w:r>
    </w:p>
    <w:p w14:paraId="2874F520" w14:textId="77777777" w:rsidR="00E6159D" w:rsidRPr="00E6159D" w:rsidRDefault="00E6159D" w:rsidP="00E6159D">
      <w:pPr>
        <w:numPr>
          <w:ilvl w:val="0"/>
          <w:numId w:val="7"/>
        </w:numPr>
        <w:spacing w:line="276" w:lineRule="auto"/>
        <w:rPr>
          <w:szCs w:val="22"/>
        </w:rPr>
      </w:pPr>
      <w:r w:rsidRPr="00E6159D">
        <w:rPr>
          <w:szCs w:val="22"/>
        </w:rPr>
        <w:t xml:space="preserve">El contenido de este documento está destinado al uso exclusivo del emisor y/o persona o entidad a quien va dirigida. </w:t>
      </w:r>
    </w:p>
    <w:p w14:paraId="29EC9B87" w14:textId="77777777" w:rsidR="00E6159D" w:rsidRPr="00E6159D" w:rsidRDefault="00E6159D" w:rsidP="00E6159D">
      <w:pPr>
        <w:numPr>
          <w:ilvl w:val="0"/>
          <w:numId w:val="7"/>
        </w:numPr>
        <w:spacing w:line="276" w:lineRule="auto"/>
        <w:rPr>
          <w:szCs w:val="22"/>
        </w:rPr>
      </w:pPr>
      <w:r w:rsidRPr="00E6159D">
        <w:rPr>
          <w:szCs w:val="22"/>
        </w:rPr>
        <w:t>Antes de realizar cualquier transacción de valores, los inversionistas deberán informarse sobre las condiciones de la operación, así como de los derechos, riesgos y responsabilidades implícitos en ella, por lo cual Vinci Compass y/o personas relacionadas (“</w:t>
      </w:r>
      <w:r w:rsidRPr="00E6159D">
        <w:rPr>
          <w:i/>
          <w:iCs/>
          <w:szCs w:val="22"/>
          <w:u w:val="single"/>
        </w:rPr>
        <w:t>Vinci Compass</w:t>
      </w:r>
      <w:r w:rsidRPr="00E6159D">
        <w:rPr>
          <w:szCs w:val="22"/>
        </w:rPr>
        <w:t xml:space="preserve">”) no asume responsabilidad alguna, ya sea directa o indirecta, derivada del uso de la información y/u opiniones contenidas en esta presentación. </w:t>
      </w:r>
    </w:p>
    <w:p w14:paraId="751747C8" w14:textId="77777777" w:rsidR="00E6159D" w:rsidRPr="00E6159D" w:rsidRDefault="00E6159D" w:rsidP="00E6159D">
      <w:pPr>
        <w:numPr>
          <w:ilvl w:val="0"/>
          <w:numId w:val="7"/>
        </w:numPr>
        <w:spacing w:line="276" w:lineRule="auto"/>
        <w:rPr>
          <w:szCs w:val="22"/>
        </w:rPr>
      </w:pPr>
      <w:r w:rsidRPr="00E6159D">
        <w:rPr>
          <w:szCs w:val="22"/>
        </w:rPr>
        <w:t>Las sociedades de Vinci Compass no ofrecen garantías, ni asumen responsabilidades sobre la información o por las decisiones de inversión adoptadas por terceros.</w:t>
      </w:r>
    </w:p>
    <w:p w14:paraId="525F7B1C" w14:textId="6863A44F" w:rsidR="004F4524" w:rsidRPr="00E6159D" w:rsidRDefault="00E6159D" w:rsidP="00E6159D">
      <w:pPr>
        <w:numPr>
          <w:ilvl w:val="0"/>
          <w:numId w:val="7"/>
        </w:numPr>
        <w:spacing w:line="276" w:lineRule="auto"/>
        <w:rPr>
          <w:szCs w:val="22"/>
        </w:rPr>
      </w:pPr>
      <w:r w:rsidRPr="00E6159D">
        <w:rPr>
          <w:szCs w:val="22"/>
        </w:rPr>
        <w:t xml:space="preserve">Cualquier uso, almacenamiento, divulgación, distribución o copia de la información contenida en este documento, está estrictamente prohibido y sancionado por la ley. </w:t>
      </w:r>
    </w:p>
    <w:sectPr w:rsidR="004F4524" w:rsidRPr="00E6159D" w:rsidSect="00ED5512">
      <w:headerReference w:type="default" r:id="rId16"/>
      <w:footerReference w:type="even" r:id="rId17"/>
      <w:footerReference w:type="default" r:id="rId18"/>
      <w:type w:val="continuous"/>
      <w:pgSz w:w="12240" w:h="15840"/>
      <w:pgMar w:top="1985" w:right="1418" w:bottom="1418" w:left="1418" w:header="709" w:footer="567" w:gutter="0"/>
      <w:cols w:space="125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3B9A7" w14:textId="77777777" w:rsidR="008D7E4C" w:rsidRDefault="008D7E4C" w:rsidP="004F2CFA">
      <w:r>
        <w:separator/>
      </w:r>
    </w:p>
  </w:endnote>
  <w:endnote w:type="continuationSeparator" w:id="0">
    <w:p w14:paraId="092A4B21" w14:textId="77777777" w:rsidR="008D7E4C" w:rsidRDefault="008D7E4C" w:rsidP="004F2CFA">
      <w:r>
        <w:continuationSeparator/>
      </w:r>
    </w:p>
  </w:endnote>
  <w:endnote w:type="continuationNotice" w:id="1">
    <w:p w14:paraId="71206950" w14:textId="77777777" w:rsidR="008D7E4C" w:rsidRDefault="008D7E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Cuerpo)">
    <w:altName w:val="Calibri"/>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Light">
    <w:panose1 w:val="020B0004020202020204"/>
    <w:charset w:val="00"/>
    <w:family w:val="swiss"/>
    <w:pitch w:val="variable"/>
    <w:sig w:usb0="20000287" w:usb1="00000003" w:usb2="00000000" w:usb3="00000000" w:csb0="0000019F" w:csb1="00000000"/>
  </w:font>
  <w:font w:name="Arial (Cuerpo en alfabeto compl">
    <w:altName w:val="Arial"/>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068843745"/>
      <w:docPartObj>
        <w:docPartGallery w:val="Page Numbers (Bottom of Page)"/>
        <w:docPartUnique/>
      </w:docPartObj>
    </w:sdtPr>
    <w:sdtContent>
      <w:p w14:paraId="01A3E72C" w14:textId="77777777" w:rsidR="00D336F2" w:rsidRDefault="00D336F2" w:rsidP="004318A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7E82A67" w14:textId="77777777" w:rsidR="00D336F2" w:rsidRDefault="00D336F2" w:rsidP="00D336F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inorEastAsia" w:cstheme="minorHAnsi"/>
        <w:sz w:val="16"/>
        <w:szCs w:val="16"/>
        <w:lang w:val="es-ES"/>
      </w:rPr>
      <w:id w:val="1950733772"/>
      <w:docPartObj>
        <w:docPartGallery w:val="Page Numbers (Bottom of Page)"/>
        <w:docPartUnique/>
      </w:docPartObj>
    </w:sdtPr>
    <w:sdtEndPr>
      <w:rPr>
        <w:rFonts w:cs="Arial (Cuerpo en alfabeto compl"/>
        <w:color w:val="002FA7" w:themeColor="background2"/>
      </w:rPr>
    </w:sdtEndPr>
    <w:sdtContent>
      <w:p w14:paraId="423F4772" w14:textId="5C1B484A" w:rsidR="00A41394" w:rsidRPr="009059D8" w:rsidRDefault="009059D8" w:rsidP="005A6B87">
        <w:pPr>
          <w:tabs>
            <w:tab w:val="right" w:pos="9404"/>
          </w:tabs>
          <w:rPr>
            <w:rFonts w:eastAsiaTheme="minorEastAsia"/>
            <w:color w:val="002FA7" w:themeColor="background2"/>
            <w:sz w:val="16"/>
            <w:szCs w:val="16"/>
            <w:lang w:val="es-ES"/>
          </w:rPr>
        </w:pPr>
        <w:r>
          <w:rPr>
            <w:color w:val="7F7F7F" w:themeColor="text1" w:themeTint="80"/>
            <w:sz w:val="16"/>
            <w:szCs w:val="16"/>
            <w:lang w:val="es-ES"/>
          </w:rPr>
          <w:t xml:space="preserve">Estrategia Fondos Deuda </w:t>
        </w:r>
        <w:r w:rsidR="00D6593A">
          <w:rPr>
            <w:color w:val="7F7F7F" w:themeColor="text1" w:themeTint="80"/>
            <w:sz w:val="16"/>
            <w:szCs w:val="16"/>
            <w:lang w:val="es-ES"/>
          </w:rPr>
          <w:t>Chilena</w:t>
        </w:r>
        <w:r w:rsidR="005A6B87" w:rsidRPr="009059D8">
          <w:rPr>
            <w:color w:val="7F7F7F" w:themeColor="text1" w:themeTint="80"/>
            <w:sz w:val="16"/>
            <w:szCs w:val="16"/>
            <w:lang w:val="es-ES"/>
          </w:rPr>
          <w:t xml:space="preserve">  </w:t>
        </w:r>
        <w:r w:rsidR="005A6B87" w:rsidRPr="009059D8">
          <w:rPr>
            <w:color w:val="002FA7" w:themeColor="background2"/>
            <w:sz w:val="16"/>
            <w:szCs w:val="16"/>
            <w:lang w:val="es-ES"/>
          </w:rPr>
          <w:t xml:space="preserve"> I    </w:t>
        </w:r>
        <w:r w:rsidR="005A6B87" w:rsidRPr="009059D8">
          <w:rPr>
            <w:color w:val="7F7F7F" w:themeColor="text1" w:themeTint="80"/>
            <w:sz w:val="16"/>
            <w:szCs w:val="16"/>
            <w:lang w:val="es-ES"/>
          </w:rPr>
          <w:t>Vinci Compass</w:t>
        </w:r>
        <w:r w:rsidR="005A6B87" w:rsidRPr="009059D8">
          <w:rPr>
            <w:rFonts w:cstheme="minorHAnsi"/>
            <w:color w:val="7F7F7F" w:themeColor="text1" w:themeTint="80"/>
            <w:sz w:val="16"/>
            <w:szCs w:val="16"/>
          </w:rPr>
          <w:tab/>
        </w:r>
        <w:r w:rsidR="005A6B87" w:rsidRPr="009059D8">
          <w:rPr>
            <w:rFonts w:eastAsia="MS Mincho" w:cs="Calibri"/>
            <w:color w:val="002FA7"/>
            <w:sz w:val="16"/>
            <w:szCs w:val="16"/>
            <w:lang w:val="es-ES"/>
          </w:rPr>
          <w:fldChar w:fldCharType="begin"/>
        </w:r>
        <w:r w:rsidR="005A6B87" w:rsidRPr="009059D8">
          <w:rPr>
            <w:rFonts w:eastAsia="MS Mincho" w:cs="Calibri"/>
            <w:color w:val="002FA7"/>
            <w:sz w:val="16"/>
            <w:szCs w:val="16"/>
            <w:lang w:val="es-ES"/>
          </w:rPr>
          <w:instrText xml:space="preserve"> PAGE   \* MERGEFORMAT </w:instrText>
        </w:r>
        <w:r w:rsidR="005A6B87" w:rsidRPr="009059D8">
          <w:rPr>
            <w:rFonts w:eastAsia="MS Mincho" w:cs="Calibri"/>
            <w:color w:val="002FA7"/>
            <w:sz w:val="16"/>
            <w:szCs w:val="16"/>
            <w:lang w:val="es-ES"/>
          </w:rPr>
          <w:fldChar w:fldCharType="separate"/>
        </w:r>
        <w:r w:rsidR="005A6B87" w:rsidRPr="009059D8">
          <w:rPr>
            <w:rFonts w:eastAsia="MS Mincho" w:cs="Calibri"/>
            <w:color w:val="002FA7"/>
            <w:sz w:val="16"/>
            <w:szCs w:val="16"/>
            <w:lang w:val="es-ES"/>
          </w:rPr>
          <w:t>2</w:t>
        </w:r>
        <w:r w:rsidR="005A6B87" w:rsidRPr="009059D8">
          <w:rPr>
            <w:rFonts w:eastAsia="MS Mincho" w:cs="Calibri"/>
            <w:color w:val="002FA7"/>
            <w:sz w:val="16"/>
            <w:szCs w:val="16"/>
            <w:lang w:val="es-E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11B4A" w14:textId="77777777" w:rsidR="008D7E4C" w:rsidRDefault="008D7E4C" w:rsidP="004F2CFA">
      <w:r>
        <w:separator/>
      </w:r>
    </w:p>
  </w:footnote>
  <w:footnote w:type="continuationSeparator" w:id="0">
    <w:p w14:paraId="5EC1670A" w14:textId="77777777" w:rsidR="008D7E4C" w:rsidRDefault="008D7E4C" w:rsidP="004F2CFA">
      <w:r>
        <w:continuationSeparator/>
      </w:r>
    </w:p>
  </w:footnote>
  <w:footnote w:type="continuationNotice" w:id="1">
    <w:p w14:paraId="1CD9D4CE" w14:textId="77777777" w:rsidR="008D7E4C" w:rsidRDefault="008D7E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4DBE4" w14:textId="1BBCEF36" w:rsidR="004F2CFA" w:rsidRDefault="00FB4010">
    <w:pPr>
      <w:pStyle w:val="Encabezado"/>
    </w:pPr>
    <w:r>
      <w:rPr>
        <w:noProof/>
      </w:rPr>
      <mc:AlternateContent>
        <mc:Choice Requires="wps">
          <w:drawing>
            <wp:anchor distT="0" distB="0" distL="114300" distR="114300" simplePos="0" relativeHeight="251658241" behindDoc="0" locked="0" layoutInCell="1" allowOverlap="1" wp14:anchorId="59C20C6E" wp14:editId="556E05D6">
              <wp:simplePos x="0" y="0"/>
              <wp:positionH relativeFrom="column">
                <wp:posOffset>-98626</wp:posOffset>
              </wp:positionH>
              <wp:positionV relativeFrom="paragraph">
                <wp:posOffset>-247015</wp:posOffset>
              </wp:positionV>
              <wp:extent cx="4234180" cy="603738"/>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4234180" cy="603738"/>
                      </a:xfrm>
                      <a:prstGeom prst="rect">
                        <a:avLst/>
                      </a:prstGeom>
                      <a:noFill/>
                      <a:ln w="6350">
                        <a:noFill/>
                      </a:ln>
                    </wps:spPr>
                    <wps:txbx>
                      <w:txbxContent>
                        <w:p w14:paraId="20EA40CD" w14:textId="0E3290CE" w:rsidR="00F17F05" w:rsidRPr="00DC7E7B" w:rsidRDefault="00F17F05" w:rsidP="00FB4010">
                          <w:pPr>
                            <w:rPr>
                              <w:rFonts w:ascii="Aptos" w:hAnsi="Aptos"/>
                              <w:b/>
                              <w:bCs/>
                              <w:color w:val="FFFFFF" w:themeColor="background1"/>
                            </w:rPr>
                          </w:pPr>
                          <w:r w:rsidRPr="00DC7E7B">
                            <w:rPr>
                              <w:rFonts w:ascii="Aptos" w:hAnsi="Aptos"/>
                              <w:b/>
                              <w:bCs/>
                              <w:color w:val="FFFFFF" w:themeColor="background1"/>
                              <w:sz w:val="28"/>
                              <w:szCs w:val="28"/>
                            </w:rPr>
                            <w:t xml:space="preserve">Estrategia Fondos Deuda </w:t>
                          </w:r>
                          <w:r w:rsidR="00D6593A">
                            <w:rPr>
                              <w:rFonts w:ascii="Aptos" w:hAnsi="Aptos"/>
                              <w:b/>
                              <w:bCs/>
                              <w:color w:val="FFFFFF" w:themeColor="background1"/>
                              <w:sz w:val="28"/>
                              <w:szCs w:val="28"/>
                            </w:rPr>
                            <w:t>Chilena</w:t>
                          </w:r>
                          <w:r w:rsidRPr="0074714A">
                            <w:rPr>
                              <w:rFonts w:ascii="Aptos" w:hAnsi="Aptos"/>
                              <w:b/>
                              <w:bCs/>
                              <w:color w:val="FFFFFF" w:themeColor="background1"/>
                              <w:sz w:val="28"/>
                              <w:szCs w:val="28"/>
                              <w:vertAlign w:val="superscript"/>
                            </w:rPr>
                            <w:t>(1)</w:t>
                          </w:r>
                        </w:p>
                        <w:p w14:paraId="55C4B504" w14:textId="2BB1EA1E" w:rsidR="00F17F05" w:rsidRPr="00DC7E7B" w:rsidRDefault="00F17F05" w:rsidP="00FB4010">
                          <w:pPr>
                            <w:rPr>
                              <w:rFonts w:cs="Calibri"/>
                              <w:color w:val="FFFFFF" w:themeColor="background1"/>
                              <w:sz w:val="24"/>
                            </w:rPr>
                          </w:pPr>
                          <w:r w:rsidRPr="00DC7E7B">
                            <w:rPr>
                              <w:rFonts w:cs="Calibri"/>
                              <w:color w:val="FFFFFF" w:themeColor="background1"/>
                              <w:sz w:val="24"/>
                            </w:rPr>
                            <w:t xml:space="preserve">Comentario Trimestral </w:t>
                          </w:r>
                          <w:r w:rsidR="003A360F" w:rsidRPr="00DC7E7B">
                            <w:rPr>
                              <w:rFonts w:cs="Calibri"/>
                              <w:color w:val="FFFFFF" w:themeColor="background1"/>
                              <w:sz w:val="24"/>
                            </w:rPr>
                            <w:t>–</w:t>
                          </w:r>
                          <w:r w:rsidRPr="00DC7E7B">
                            <w:rPr>
                              <w:rFonts w:cs="Calibri"/>
                              <w:color w:val="FFFFFF" w:themeColor="background1"/>
                              <w:sz w:val="24"/>
                            </w:rPr>
                            <w:t xml:space="preserve"> </w:t>
                          </w:r>
                          <w:r w:rsidR="00926089" w:rsidRPr="00DC7E7B">
                            <w:rPr>
                              <w:rFonts w:cs="Calibri"/>
                              <w:color w:val="FFFFFF" w:themeColor="background1"/>
                              <w:sz w:val="24"/>
                            </w:rPr>
                            <w:t>Junio</w:t>
                          </w:r>
                          <w:r w:rsidR="00F03733" w:rsidRPr="00DC7E7B">
                            <w:rPr>
                              <w:rFonts w:cs="Calibri"/>
                              <w:color w:val="FFFFFF" w:themeColor="background1"/>
                              <w:sz w:val="24"/>
                            </w:rPr>
                            <w:t xml:space="preserve"> </w:t>
                          </w:r>
                          <w:r w:rsidRPr="00DC7E7B">
                            <w:rPr>
                              <w:rFonts w:cs="Calibri"/>
                              <w:color w:val="FFFFFF" w:themeColor="background1"/>
                              <w:sz w:val="24"/>
                            </w:rPr>
                            <w:t>202</w:t>
                          </w:r>
                          <w:r w:rsidR="009D5597" w:rsidRPr="00DC7E7B">
                            <w:rPr>
                              <w:rFonts w:cs="Calibri"/>
                              <w:color w:val="FFFFFF" w:themeColor="background1"/>
                              <w:sz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C20C6E" id="_x0000_t202" coordsize="21600,21600" o:spt="202" path="m,l,21600r21600,l21600,xe">
              <v:stroke joinstyle="miter"/>
              <v:path gradientshapeok="t" o:connecttype="rect"/>
            </v:shapetype>
            <v:shape id="Cuadro de texto 3" o:spid="_x0000_s1027" type="#_x0000_t202" style="position:absolute;left:0;text-align:left;margin-left:-7.75pt;margin-top:-19.45pt;width:333.4pt;height:47.5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" filled="f" stroked="f" strokeweight=".5pt">
              <v:textbox>
                <w:txbxContent>
                  <w:p w14:paraId="20EA40CD" w14:textId="0E3290CE" w:rsidR="00F17F05" w:rsidRPr="00DC7E7B" w:rsidRDefault="00F17F05" w:rsidP="00FB4010">
                    <w:pPr>
                      <w:rPr>
                        <w:rFonts w:ascii="Aptos" w:hAnsi="Aptos"/>
                        <w:b/>
                        <w:bCs/>
                        <w:color w:val="FFFFFF" w:themeColor="background1"/>
                      </w:rPr>
                    </w:pPr>
                    <w:r w:rsidRPr="00DC7E7B">
                      <w:rPr>
                        <w:rFonts w:ascii="Aptos" w:hAnsi="Aptos"/>
                        <w:b/>
                        <w:bCs/>
                        <w:color w:val="FFFFFF" w:themeColor="background1"/>
                        <w:sz w:val="28"/>
                        <w:szCs w:val="28"/>
                      </w:rPr>
                      <w:t xml:space="preserve">Estrategia Fondos Deuda </w:t>
                    </w:r>
                    <w:r w:rsidR="00D6593A">
                      <w:rPr>
                        <w:rFonts w:ascii="Aptos" w:hAnsi="Aptos"/>
                        <w:b/>
                        <w:bCs/>
                        <w:color w:val="FFFFFF" w:themeColor="background1"/>
                        <w:sz w:val="28"/>
                        <w:szCs w:val="28"/>
                      </w:rPr>
                      <w:t>Chilena</w:t>
                    </w:r>
                    <w:r w:rsidRPr="0074714A">
                      <w:rPr>
                        <w:rFonts w:ascii="Aptos" w:hAnsi="Aptos"/>
                        <w:b/>
                        <w:bCs/>
                        <w:color w:val="FFFFFF" w:themeColor="background1"/>
                        <w:sz w:val="28"/>
                        <w:szCs w:val="28"/>
                        <w:vertAlign w:val="superscript"/>
                      </w:rPr>
                      <w:t>(1)</w:t>
                    </w:r>
                  </w:p>
                  <w:p w14:paraId="55C4B504" w14:textId="2BB1EA1E" w:rsidR="00F17F05" w:rsidRPr="00DC7E7B" w:rsidRDefault="00F17F05" w:rsidP="00FB4010">
                    <w:pPr>
                      <w:rPr>
                        <w:rFonts w:cs="Calibri"/>
                        <w:color w:val="FFFFFF" w:themeColor="background1"/>
                        <w:sz w:val="24"/>
                      </w:rPr>
                    </w:pPr>
                    <w:r w:rsidRPr="00DC7E7B">
                      <w:rPr>
                        <w:rFonts w:cs="Calibri"/>
                        <w:color w:val="FFFFFF" w:themeColor="background1"/>
                        <w:sz w:val="24"/>
                      </w:rPr>
                      <w:t xml:space="preserve">Comentario Trimestral </w:t>
                    </w:r>
                    <w:r w:rsidR="003A360F" w:rsidRPr="00DC7E7B">
                      <w:rPr>
                        <w:rFonts w:cs="Calibri"/>
                        <w:color w:val="FFFFFF" w:themeColor="background1"/>
                        <w:sz w:val="24"/>
                      </w:rPr>
                      <w:t>–</w:t>
                    </w:r>
                    <w:r w:rsidRPr="00DC7E7B">
                      <w:rPr>
                        <w:rFonts w:cs="Calibri"/>
                        <w:color w:val="FFFFFF" w:themeColor="background1"/>
                        <w:sz w:val="24"/>
                      </w:rPr>
                      <w:t xml:space="preserve"> </w:t>
                    </w:r>
                    <w:r w:rsidR="00926089" w:rsidRPr="00DC7E7B">
                      <w:rPr>
                        <w:rFonts w:cs="Calibri"/>
                        <w:color w:val="FFFFFF" w:themeColor="background1"/>
                        <w:sz w:val="24"/>
                      </w:rPr>
                      <w:t>Junio</w:t>
                    </w:r>
                    <w:r w:rsidR="00F03733" w:rsidRPr="00DC7E7B">
                      <w:rPr>
                        <w:rFonts w:cs="Calibri"/>
                        <w:color w:val="FFFFFF" w:themeColor="background1"/>
                        <w:sz w:val="24"/>
                      </w:rPr>
                      <w:t xml:space="preserve"> </w:t>
                    </w:r>
                    <w:r w:rsidRPr="00DC7E7B">
                      <w:rPr>
                        <w:rFonts w:cs="Calibri"/>
                        <w:color w:val="FFFFFF" w:themeColor="background1"/>
                        <w:sz w:val="24"/>
                      </w:rPr>
                      <w:t>202</w:t>
                    </w:r>
                    <w:r w:rsidR="009D5597" w:rsidRPr="00DC7E7B">
                      <w:rPr>
                        <w:rFonts w:cs="Calibri"/>
                        <w:color w:val="FFFFFF" w:themeColor="background1"/>
                        <w:sz w:val="24"/>
                      </w:rPr>
                      <w:t>5</w:t>
                    </w:r>
                  </w:p>
                </w:txbxContent>
              </v:textbox>
            </v:shape>
          </w:pict>
        </mc:Fallback>
      </mc:AlternateContent>
    </w:r>
    <w:r w:rsidR="005E2D7D">
      <w:rPr>
        <w:noProof/>
      </w:rPr>
      <w:drawing>
        <wp:anchor distT="0" distB="0" distL="114300" distR="114300" simplePos="0" relativeHeight="251657216" behindDoc="0" locked="0" layoutInCell="1" allowOverlap="1" wp14:anchorId="0613BD34" wp14:editId="26543489">
          <wp:simplePos x="0" y="0"/>
          <wp:positionH relativeFrom="column">
            <wp:posOffset>-893445</wp:posOffset>
          </wp:positionH>
          <wp:positionV relativeFrom="margin">
            <wp:posOffset>-1256030</wp:posOffset>
          </wp:positionV>
          <wp:extent cx="7765603" cy="900000"/>
          <wp:effectExtent l="0" t="0" r="0" b="1905"/>
          <wp:wrapThrough wrapText="bothSides">
            <wp:wrapPolygon edited="0">
              <wp:start x="0" y="0"/>
              <wp:lineTo x="0" y="21341"/>
              <wp:lineTo x="21549" y="21341"/>
              <wp:lineTo x="21549" y="0"/>
              <wp:lineTo x="0" y="0"/>
            </wp:wrapPolygon>
          </wp:wrapThrough>
          <wp:docPr id="2961163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950183" name="Imagen 240950183"/>
                  <pic:cNvPicPr/>
                </pic:nvPicPr>
                <pic:blipFill>
                  <a:blip r:embed="rId1">
                    <a:extLst>
                      <a:ext uri="{28A0092B-C50C-407E-A947-70E740481C1C}">
                        <a14:useLocalDpi xmlns:a14="http://schemas.microsoft.com/office/drawing/2010/main" val="0"/>
                      </a:ext>
                    </a:extLst>
                  </a:blip>
                  <a:stretch>
                    <a:fillRect/>
                  </a:stretch>
                </pic:blipFill>
                <pic:spPr>
                  <a:xfrm>
                    <a:off x="0" y="0"/>
                    <a:ext cx="7765603" cy="90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461CE"/>
    <w:multiLevelType w:val="hybridMultilevel"/>
    <w:tmpl w:val="E864DEBE"/>
    <w:lvl w:ilvl="0" w:tplc="912CE944">
      <w:numFmt w:val="bullet"/>
      <w:lvlText w:val=""/>
      <w:lvlJc w:val="left"/>
      <w:pPr>
        <w:ind w:left="720" w:hanging="360"/>
      </w:pPr>
      <w:rPr>
        <w:rFonts w:ascii="Symbol" w:hAnsi="Symbol" w:cs="Calibri (Cuerpo)" w:hint="default"/>
        <w:color w:val="002FA7" w:themeColor="background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197F83"/>
    <w:multiLevelType w:val="hybridMultilevel"/>
    <w:tmpl w:val="E3887A5A"/>
    <w:lvl w:ilvl="0" w:tplc="D4ECDA46">
      <w:start w:val="1"/>
      <w:numFmt w:val="bullet"/>
      <w:lvlText w:val=""/>
      <w:lvlJc w:val="left"/>
      <w:pPr>
        <w:ind w:left="720" w:hanging="360"/>
      </w:pPr>
      <w:rPr>
        <w:rFonts w:ascii="Symbol" w:hAnsi="Symbol" w:hint="default"/>
        <w:b w:val="0"/>
        <w:i w:val="0"/>
        <w:color w:val="002FA7" w:themeColor="background2"/>
        <w:sz w:val="21"/>
        <w:szCs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2932FD"/>
    <w:multiLevelType w:val="hybridMultilevel"/>
    <w:tmpl w:val="939671FC"/>
    <w:lvl w:ilvl="0" w:tplc="2ABA6D90">
      <w:numFmt w:val="bullet"/>
      <w:lvlText w:val=""/>
      <w:lvlJc w:val="left"/>
      <w:pPr>
        <w:ind w:left="720" w:hanging="360"/>
      </w:pPr>
      <w:rPr>
        <w:rFonts w:ascii="Symbol" w:hAnsi="Symbol" w:cs="Calibri (Cuerpo)" w:hint="default"/>
        <w:color w:val="002FA7" w:themeColor="background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58264D"/>
    <w:multiLevelType w:val="hybridMultilevel"/>
    <w:tmpl w:val="FB72F2C0"/>
    <w:lvl w:ilvl="0" w:tplc="40DA3DE6">
      <w:numFmt w:val="bullet"/>
      <w:lvlText w:val=""/>
      <w:lvlJc w:val="left"/>
      <w:pPr>
        <w:ind w:left="720" w:hanging="360"/>
      </w:pPr>
      <w:rPr>
        <w:rFonts w:ascii="Symbol" w:hAnsi="Symbol" w:cs="Calibri (Cuerpo)" w:hint="default"/>
        <w:b w:val="0"/>
        <w:i w:val="0"/>
        <w:color w:val="002FA7" w:themeColor="background2"/>
        <w:sz w:val="21"/>
        <w:szCs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1861852"/>
    <w:multiLevelType w:val="hybridMultilevel"/>
    <w:tmpl w:val="287A44F8"/>
    <w:lvl w:ilvl="0" w:tplc="68E6E032">
      <w:numFmt w:val="bullet"/>
      <w:lvlText w:val=""/>
      <w:lvlJc w:val="left"/>
      <w:pPr>
        <w:ind w:left="360" w:hanging="360"/>
      </w:pPr>
      <w:rPr>
        <w:rFonts w:ascii="Symbol" w:hAnsi="Symbol" w:cs="Calibri (Cuerpo)" w:hint="default"/>
        <w:color w:val="002FA7" w:themeColor="background2"/>
      </w:rPr>
    </w:lvl>
    <w:lvl w:ilvl="1" w:tplc="FFFFFFFF" w:tentative="1">
      <w:start w:val="1"/>
      <w:numFmt w:val="bullet"/>
      <w:lvlText w:val="&gt;"/>
      <w:lvlJc w:val="left"/>
      <w:pPr>
        <w:tabs>
          <w:tab w:val="num" w:pos="1080"/>
        </w:tabs>
        <w:ind w:left="1080" w:hanging="360"/>
      </w:pPr>
      <w:rPr>
        <w:rFonts w:ascii="Century Gothic" w:hAnsi="Century Gothic" w:hint="default"/>
      </w:rPr>
    </w:lvl>
    <w:lvl w:ilvl="2" w:tplc="FFFFFFFF" w:tentative="1">
      <w:start w:val="1"/>
      <w:numFmt w:val="bullet"/>
      <w:lvlText w:val="&gt;"/>
      <w:lvlJc w:val="left"/>
      <w:pPr>
        <w:tabs>
          <w:tab w:val="num" w:pos="1800"/>
        </w:tabs>
        <w:ind w:left="1800" w:hanging="360"/>
      </w:pPr>
      <w:rPr>
        <w:rFonts w:ascii="Century Gothic" w:hAnsi="Century Gothic" w:hint="default"/>
      </w:rPr>
    </w:lvl>
    <w:lvl w:ilvl="3" w:tplc="FFFFFFFF" w:tentative="1">
      <w:start w:val="1"/>
      <w:numFmt w:val="bullet"/>
      <w:lvlText w:val="&gt;"/>
      <w:lvlJc w:val="left"/>
      <w:pPr>
        <w:tabs>
          <w:tab w:val="num" w:pos="2520"/>
        </w:tabs>
        <w:ind w:left="2520" w:hanging="360"/>
      </w:pPr>
      <w:rPr>
        <w:rFonts w:ascii="Century Gothic" w:hAnsi="Century Gothic" w:hint="default"/>
      </w:rPr>
    </w:lvl>
    <w:lvl w:ilvl="4" w:tplc="FFFFFFFF" w:tentative="1">
      <w:start w:val="1"/>
      <w:numFmt w:val="bullet"/>
      <w:lvlText w:val="&gt;"/>
      <w:lvlJc w:val="left"/>
      <w:pPr>
        <w:tabs>
          <w:tab w:val="num" w:pos="3240"/>
        </w:tabs>
        <w:ind w:left="3240" w:hanging="360"/>
      </w:pPr>
      <w:rPr>
        <w:rFonts w:ascii="Century Gothic" w:hAnsi="Century Gothic" w:hint="default"/>
      </w:rPr>
    </w:lvl>
    <w:lvl w:ilvl="5" w:tplc="FFFFFFFF" w:tentative="1">
      <w:start w:val="1"/>
      <w:numFmt w:val="bullet"/>
      <w:lvlText w:val="&gt;"/>
      <w:lvlJc w:val="left"/>
      <w:pPr>
        <w:tabs>
          <w:tab w:val="num" w:pos="3960"/>
        </w:tabs>
        <w:ind w:left="3960" w:hanging="360"/>
      </w:pPr>
      <w:rPr>
        <w:rFonts w:ascii="Century Gothic" w:hAnsi="Century Gothic" w:hint="default"/>
      </w:rPr>
    </w:lvl>
    <w:lvl w:ilvl="6" w:tplc="FFFFFFFF" w:tentative="1">
      <w:start w:val="1"/>
      <w:numFmt w:val="bullet"/>
      <w:lvlText w:val="&gt;"/>
      <w:lvlJc w:val="left"/>
      <w:pPr>
        <w:tabs>
          <w:tab w:val="num" w:pos="4680"/>
        </w:tabs>
        <w:ind w:left="4680" w:hanging="360"/>
      </w:pPr>
      <w:rPr>
        <w:rFonts w:ascii="Century Gothic" w:hAnsi="Century Gothic" w:hint="default"/>
      </w:rPr>
    </w:lvl>
    <w:lvl w:ilvl="7" w:tplc="FFFFFFFF" w:tentative="1">
      <w:start w:val="1"/>
      <w:numFmt w:val="bullet"/>
      <w:lvlText w:val="&gt;"/>
      <w:lvlJc w:val="left"/>
      <w:pPr>
        <w:tabs>
          <w:tab w:val="num" w:pos="5400"/>
        </w:tabs>
        <w:ind w:left="5400" w:hanging="360"/>
      </w:pPr>
      <w:rPr>
        <w:rFonts w:ascii="Century Gothic" w:hAnsi="Century Gothic" w:hint="default"/>
      </w:rPr>
    </w:lvl>
    <w:lvl w:ilvl="8" w:tplc="FFFFFFFF" w:tentative="1">
      <w:start w:val="1"/>
      <w:numFmt w:val="bullet"/>
      <w:lvlText w:val="&gt;"/>
      <w:lvlJc w:val="left"/>
      <w:pPr>
        <w:tabs>
          <w:tab w:val="num" w:pos="6120"/>
        </w:tabs>
        <w:ind w:left="6120" w:hanging="360"/>
      </w:pPr>
      <w:rPr>
        <w:rFonts w:ascii="Century Gothic" w:hAnsi="Century Gothic" w:hint="default"/>
      </w:rPr>
    </w:lvl>
  </w:abstractNum>
  <w:abstractNum w:abstractNumId="5" w15:restartNumberingAfterBreak="0">
    <w:nsid w:val="36BC0A1C"/>
    <w:multiLevelType w:val="hybridMultilevel"/>
    <w:tmpl w:val="FDA0AF9E"/>
    <w:lvl w:ilvl="0" w:tplc="6B0E4EA8">
      <w:numFmt w:val="bullet"/>
      <w:lvlText w:val=""/>
      <w:lvlJc w:val="left"/>
      <w:pPr>
        <w:ind w:left="720" w:hanging="360"/>
      </w:pPr>
      <w:rPr>
        <w:rFonts w:ascii="Wingdings" w:eastAsia="Times New Roman" w:hAnsi="Wingdings" w:cs="Calibri" w:hint="default"/>
        <w:color w:val="B5283D"/>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08057EF"/>
    <w:multiLevelType w:val="hybridMultilevel"/>
    <w:tmpl w:val="E21CC666"/>
    <w:lvl w:ilvl="0" w:tplc="782E1E5A">
      <w:numFmt w:val="bullet"/>
      <w:lvlText w:val=""/>
      <w:lvlJc w:val="left"/>
      <w:pPr>
        <w:ind w:left="720" w:hanging="360"/>
      </w:pPr>
      <w:rPr>
        <w:rFonts w:ascii="Wingdings" w:eastAsia="Times New Roman" w:hAnsi="Wingdings"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1890A6A"/>
    <w:multiLevelType w:val="hybridMultilevel"/>
    <w:tmpl w:val="7F206D12"/>
    <w:lvl w:ilvl="0" w:tplc="FD16F3FA">
      <w:start w:val="1"/>
      <w:numFmt w:val="decimal"/>
      <w:lvlText w:val="(%1)"/>
      <w:lvlJc w:val="left"/>
      <w:pPr>
        <w:ind w:left="-66" w:hanging="360"/>
      </w:pPr>
      <w:rPr>
        <w:rFonts w:hint="default"/>
      </w:rPr>
    </w:lvl>
    <w:lvl w:ilvl="1" w:tplc="340A0019" w:tentative="1">
      <w:start w:val="1"/>
      <w:numFmt w:val="lowerLetter"/>
      <w:lvlText w:val="%2."/>
      <w:lvlJc w:val="left"/>
      <w:pPr>
        <w:ind w:left="654" w:hanging="360"/>
      </w:pPr>
    </w:lvl>
    <w:lvl w:ilvl="2" w:tplc="340A001B" w:tentative="1">
      <w:start w:val="1"/>
      <w:numFmt w:val="lowerRoman"/>
      <w:lvlText w:val="%3."/>
      <w:lvlJc w:val="right"/>
      <w:pPr>
        <w:ind w:left="1374" w:hanging="180"/>
      </w:pPr>
    </w:lvl>
    <w:lvl w:ilvl="3" w:tplc="340A000F" w:tentative="1">
      <w:start w:val="1"/>
      <w:numFmt w:val="decimal"/>
      <w:lvlText w:val="%4."/>
      <w:lvlJc w:val="left"/>
      <w:pPr>
        <w:ind w:left="2094" w:hanging="360"/>
      </w:pPr>
    </w:lvl>
    <w:lvl w:ilvl="4" w:tplc="340A0019" w:tentative="1">
      <w:start w:val="1"/>
      <w:numFmt w:val="lowerLetter"/>
      <w:lvlText w:val="%5."/>
      <w:lvlJc w:val="left"/>
      <w:pPr>
        <w:ind w:left="2814" w:hanging="360"/>
      </w:pPr>
    </w:lvl>
    <w:lvl w:ilvl="5" w:tplc="340A001B" w:tentative="1">
      <w:start w:val="1"/>
      <w:numFmt w:val="lowerRoman"/>
      <w:lvlText w:val="%6."/>
      <w:lvlJc w:val="right"/>
      <w:pPr>
        <w:ind w:left="3534" w:hanging="180"/>
      </w:pPr>
    </w:lvl>
    <w:lvl w:ilvl="6" w:tplc="340A000F" w:tentative="1">
      <w:start w:val="1"/>
      <w:numFmt w:val="decimal"/>
      <w:lvlText w:val="%7."/>
      <w:lvlJc w:val="left"/>
      <w:pPr>
        <w:ind w:left="4254" w:hanging="360"/>
      </w:pPr>
    </w:lvl>
    <w:lvl w:ilvl="7" w:tplc="340A0019" w:tentative="1">
      <w:start w:val="1"/>
      <w:numFmt w:val="lowerLetter"/>
      <w:lvlText w:val="%8."/>
      <w:lvlJc w:val="left"/>
      <w:pPr>
        <w:ind w:left="4974" w:hanging="360"/>
      </w:pPr>
    </w:lvl>
    <w:lvl w:ilvl="8" w:tplc="340A001B" w:tentative="1">
      <w:start w:val="1"/>
      <w:numFmt w:val="lowerRoman"/>
      <w:lvlText w:val="%9."/>
      <w:lvlJc w:val="right"/>
      <w:pPr>
        <w:ind w:left="5694" w:hanging="180"/>
      </w:pPr>
    </w:lvl>
  </w:abstractNum>
  <w:abstractNum w:abstractNumId="8" w15:restartNumberingAfterBreak="0">
    <w:nsid w:val="64462C12"/>
    <w:multiLevelType w:val="hybridMultilevel"/>
    <w:tmpl w:val="6ADAA9CC"/>
    <w:lvl w:ilvl="0" w:tplc="7054DA4C">
      <w:start w:val="1"/>
      <w:numFmt w:val="decimal"/>
      <w:lvlText w:val="(%1)"/>
      <w:lvlJc w:val="left"/>
      <w:pPr>
        <w:ind w:left="360" w:hanging="360"/>
      </w:pPr>
      <w:rPr>
        <w:rFonts w:eastAsia="Times New Roman" w:hint="default"/>
        <w:color w:val="000000"/>
        <w:vertAlign w:val="superscrip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851107A"/>
    <w:multiLevelType w:val="hybridMultilevel"/>
    <w:tmpl w:val="CA023C6E"/>
    <w:lvl w:ilvl="0" w:tplc="D4ECDA46">
      <w:start w:val="1"/>
      <w:numFmt w:val="bullet"/>
      <w:lvlText w:val=""/>
      <w:lvlJc w:val="left"/>
      <w:pPr>
        <w:ind w:left="720" w:hanging="360"/>
      </w:pPr>
      <w:rPr>
        <w:rFonts w:ascii="Symbol" w:hAnsi="Symbol" w:hint="default"/>
        <w:b w:val="0"/>
        <w:i w:val="0"/>
        <w:color w:val="002FA7" w:themeColor="background2"/>
        <w:sz w:val="21"/>
        <w:szCs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D1312B2"/>
    <w:multiLevelType w:val="hybridMultilevel"/>
    <w:tmpl w:val="96BE6E66"/>
    <w:lvl w:ilvl="0" w:tplc="CBCE1E90">
      <w:numFmt w:val="bullet"/>
      <w:lvlText w:val=""/>
      <w:lvlJc w:val="left"/>
      <w:pPr>
        <w:ind w:left="360" w:hanging="360"/>
      </w:pPr>
      <w:rPr>
        <w:rFonts w:ascii="Symbol" w:hAnsi="Symbol" w:cs="Calibri (Cuerpo)" w:hint="default"/>
        <w:color w:val="002FA7" w:themeColor="background2"/>
      </w:rPr>
    </w:lvl>
    <w:lvl w:ilvl="1" w:tplc="FFFFFFFF" w:tentative="1">
      <w:start w:val="1"/>
      <w:numFmt w:val="bullet"/>
      <w:lvlText w:val="&gt;"/>
      <w:lvlJc w:val="left"/>
      <w:pPr>
        <w:tabs>
          <w:tab w:val="num" w:pos="1080"/>
        </w:tabs>
        <w:ind w:left="1080" w:hanging="360"/>
      </w:pPr>
      <w:rPr>
        <w:rFonts w:ascii="Century Gothic" w:hAnsi="Century Gothic" w:hint="default"/>
      </w:rPr>
    </w:lvl>
    <w:lvl w:ilvl="2" w:tplc="FFFFFFFF" w:tentative="1">
      <w:start w:val="1"/>
      <w:numFmt w:val="bullet"/>
      <w:lvlText w:val="&gt;"/>
      <w:lvlJc w:val="left"/>
      <w:pPr>
        <w:tabs>
          <w:tab w:val="num" w:pos="1800"/>
        </w:tabs>
        <w:ind w:left="1800" w:hanging="360"/>
      </w:pPr>
      <w:rPr>
        <w:rFonts w:ascii="Century Gothic" w:hAnsi="Century Gothic" w:hint="default"/>
      </w:rPr>
    </w:lvl>
    <w:lvl w:ilvl="3" w:tplc="FFFFFFFF" w:tentative="1">
      <w:start w:val="1"/>
      <w:numFmt w:val="bullet"/>
      <w:lvlText w:val="&gt;"/>
      <w:lvlJc w:val="left"/>
      <w:pPr>
        <w:tabs>
          <w:tab w:val="num" w:pos="2520"/>
        </w:tabs>
        <w:ind w:left="2520" w:hanging="360"/>
      </w:pPr>
      <w:rPr>
        <w:rFonts w:ascii="Century Gothic" w:hAnsi="Century Gothic" w:hint="default"/>
      </w:rPr>
    </w:lvl>
    <w:lvl w:ilvl="4" w:tplc="FFFFFFFF" w:tentative="1">
      <w:start w:val="1"/>
      <w:numFmt w:val="bullet"/>
      <w:lvlText w:val="&gt;"/>
      <w:lvlJc w:val="left"/>
      <w:pPr>
        <w:tabs>
          <w:tab w:val="num" w:pos="3240"/>
        </w:tabs>
        <w:ind w:left="3240" w:hanging="360"/>
      </w:pPr>
      <w:rPr>
        <w:rFonts w:ascii="Century Gothic" w:hAnsi="Century Gothic" w:hint="default"/>
      </w:rPr>
    </w:lvl>
    <w:lvl w:ilvl="5" w:tplc="FFFFFFFF" w:tentative="1">
      <w:start w:val="1"/>
      <w:numFmt w:val="bullet"/>
      <w:lvlText w:val="&gt;"/>
      <w:lvlJc w:val="left"/>
      <w:pPr>
        <w:tabs>
          <w:tab w:val="num" w:pos="3960"/>
        </w:tabs>
        <w:ind w:left="3960" w:hanging="360"/>
      </w:pPr>
      <w:rPr>
        <w:rFonts w:ascii="Century Gothic" w:hAnsi="Century Gothic" w:hint="default"/>
      </w:rPr>
    </w:lvl>
    <w:lvl w:ilvl="6" w:tplc="FFFFFFFF" w:tentative="1">
      <w:start w:val="1"/>
      <w:numFmt w:val="bullet"/>
      <w:lvlText w:val="&gt;"/>
      <w:lvlJc w:val="left"/>
      <w:pPr>
        <w:tabs>
          <w:tab w:val="num" w:pos="4680"/>
        </w:tabs>
        <w:ind w:left="4680" w:hanging="360"/>
      </w:pPr>
      <w:rPr>
        <w:rFonts w:ascii="Century Gothic" w:hAnsi="Century Gothic" w:hint="default"/>
      </w:rPr>
    </w:lvl>
    <w:lvl w:ilvl="7" w:tplc="FFFFFFFF" w:tentative="1">
      <w:start w:val="1"/>
      <w:numFmt w:val="bullet"/>
      <w:lvlText w:val="&gt;"/>
      <w:lvlJc w:val="left"/>
      <w:pPr>
        <w:tabs>
          <w:tab w:val="num" w:pos="5400"/>
        </w:tabs>
        <w:ind w:left="5400" w:hanging="360"/>
      </w:pPr>
      <w:rPr>
        <w:rFonts w:ascii="Century Gothic" w:hAnsi="Century Gothic" w:hint="default"/>
      </w:rPr>
    </w:lvl>
    <w:lvl w:ilvl="8" w:tplc="FFFFFFFF" w:tentative="1">
      <w:start w:val="1"/>
      <w:numFmt w:val="bullet"/>
      <w:lvlText w:val="&gt;"/>
      <w:lvlJc w:val="left"/>
      <w:pPr>
        <w:tabs>
          <w:tab w:val="num" w:pos="6120"/>
        </w:tabs>
        <w:ind w:left="6120" w:hanging="360"/>
      </w:pPr>
      <w:rPr>
        <w:rFonts w:ascii="Century Gothic" w:hAnsi="Century Gothic" w:hint="default"/>
      </w:rPr>
    </w:lvl>
  </w:abstractNum>
  <w:abstractNum w:abstractNumId="11" w15:restartNumberingAfterBreak="0">
    <w:nsid w:val="7D765A09"/>
    <w:multiLevelType w:val="hybridMultilevel"/>
    <w:tmpl w:val="BFC43DD4"/>
    <w:lvl w:ilvl="0" w:tplc="1CC65750">
      <w:start w:val="1"/>
      <w:numFmt w:val="bullet"/>
      <w:lvlText w:val="&gt;"/>
      <w:lvlJc w:val="left"/>
      <w:pPr>
        <w:tabs>
          <w:tab w:val="num" w:pos="360"/>
        </w:tabs>
        <w:ind w:left="360" w:hanging="360"/>
      </w:pPr>
      <w:rPr>
        <w:rFonts w:ascii="Century Gothic" w:hAnsi="Century Gothic" w:hint="default"/>
        <w:color w:val="B5283D"/>
      </w:rPr>
    </w:lvl>
    <w:lvl w:ilvl="1" w:tplc="C4AA517C" w:tentative="1">
      <w:start w:val="1"/>
      <w:numFmt w:val="bullet"/>
      <w:lvlText w:val="&gt;"/>
      <w:lvlJc w:val="left"/>
      <w:pPr>
        <w:tabs>
          <w:tab w:val="num" w:pos="1080"/>
        </w:tabs>
        <w:ind w:left="1080" w:hanging="360"/>
      </w:pPr>
      <w:rPr>
        <w:rFonts w:ascii="Century Gothic" w:hAnsi="Century Gothic" w:hint="default"/>
      </w:rPr>
    </w:lvl>
    <w:lvl w:ilvl="2" w:tplc="59022ADC" w:tentative="1">
      <w:start w:val="1"/>
      <w:numFmt w:val="bullet"/>
      <w:lvlText w:val="&gt;"/>
      <w:lvlJc w:val="left"/>
      <w:pPr>
        <w:tabs>
          <w:tab w:val="num" w:pos="1800"/>
        </w:tabs>
        <w:ind w:left="1800" w:hanging="360"/>
      </w:pPr>
      <w:rPr>
        <w:rFonts w:ascii="Century Gothic" w:hAnsi="Century Gothic" w:hint="default"/>
      </w:rPr>
    </w:lvl>
    <w:lvl w:ilvl="3" w:tplc="A662B142" w:tentative="1">
      <w:start w:val="1"/>
      <w:numFmt w:val="bullet"/>
      <w:lvlText w:val="&gt;"/>
      <w:lvlJc w:val="left"/>
      <w:pPr>
        <w:tabs>
          <w:tab w:val="num" w:pos="2520"/>
        </w:tabs>
        <w:ind w:left="2520" w:hanging="360"/>
      </w:pPr>
      <w:rPr>
        <w:rFonts w:ascii="Century Gothic" w:hAnsi="Century Gothic" w:hint="default"/>
      </w:rPr>
    </w:lvl>
    <w:lvl w:ilvl="4" w:tplc="DEFAB82C" w:tentative="1">
      <w:start w:val="1"/>
      <w:numFmt w:val="bullet"/>
      <w:lvlText w:val="&gt;"/>
      <w:lvlJc w:val="left"/>
      <w:pPr>
        <w:tabs>
          <w:tab w:val="num" w:pos="3240"/>
        </w:tabs>
        <w:ind w:left="3240" w:hanging="360"/>
      </w:pPr>
      <w:rPr>
        <w:rFonts w:ascii="Century Gothic" w:hAnsi="Century Gothic" w:hint="default"/>
      </w:rPr>
    </w:lvl>
    <w:lvl w:ilvl="5" w:tplc="18027662" w:tentative="1">
      <w:start w:val="1"/>
      <w:numFmt w:val="bullet"/>
      <w:lvlText w:val="&gt;"/>
      <w:lvlJc w:val="left"/>
      <w:pPr>
        <w:tabs>
          <w:tab w:val="num" w:pos="3960"/>
        </w:tabs>
        <w:ind w:left="3960" w:hanging="360"/>
      </w:pPr>
      <w:rPr>
        <w:rFonts w:ascii="Century Gothic" w:hAnsi="Century Gothic" w:hint="default"/>
      </w:rPr>
    </w:lvl>
    <w:lvl w:ilvl="6" w:tplc="2828CD2E" w:tentative="1">
      <w:start w:val="1"/>
      <w:numFmt w:val="bullet"/>
      <w:lvlText w:val="&gt;"/>
      <w:lvlJc w:val="left"/>
      <w:pPr>
        <w:tabs>
          <w:tab w:val="num" w:pos="4680"/>
        </w:tabs>
        <w:ind w:left="4680" w:hanging="360"/>
      </w:pPr>
      <w:rPr>
        <w:rFonts w:ascii="Century Gothic" w:hAnsi="Century Gothic" w:hint="default"/>
      </w:rPr>
    </w:lvl>
    <w:lvl w:ilvl="7" w:tplc="11D6C128" w:tentative="1">
      <w:start w:val="1"/>
      <w:numFmt w:val="bullet"/>
      <w:lvlText w:val="&gt;"/>
      <w:lvlJc w:val="left"/>
      <w:pPr>
        <w:tabs>
          <w:tab w:val="num" w:pos="5400"/>
        </w:tabs>
        <w:ind w:left="5400" w:hanging="360"/>
      </w:pPr>
      <w:rPr>
        <w:rFonts w:ascii="Century Gothic" w:hAnsi="Century Gothic" w:hint="default"/>
      </w:rPr>
    </w:lvl>
    <w:lvl w:ilvl="8" w:tplc="940AD774" w:tentative="1">
      <w:start w:val="1"/>
      <w:numFmt w:val="bullet"/>
      <w:lvlText w:val="&gt;"/>
      <w:lvlJc w:val="left"/>
      <w:pPr>
        <w:tabs>
          <w:tab w:val="num" w:pos="6120"/>
        </w:tabs>
        <w:ind w:left="6120" w:hanging="360"/>
      </w:pPr>
      <w:rPr>
        <w:rFonts w:ascii="Century Gothic" w:hAnsi="Century Gothic" w:hint="default"/>
      </w:rPr>
    </w:lvl>
  </w:abstractNum>
  <w:num w:numId="1" w16cid:durableId="1750343935">
    <w:abstractNumId w:val="11"/>
  </w:num>
  <w:num w:numId="2" w16cid:durableId="1223440373">
    <w:abstractNumId w:val="8"/>
  </w:num>
  <w:num w:numId="3" w16cid:durableId="2006088281">
    <w:abstractNumId w:val="0"/>
  </w:num>
  <w:num w:numId="4" w16cid:durableId="2042054444">
    <w:abstractNumId w:val="5"/>
  </w:num>
  <w:num w:numId="5" w16cid:durableId="829642487">
    <w:abstractNumId w:val="2"/>
  </w:num>
  <w:num w:numId="6" w16cid:durableId="983046640">
    <w:abstractNumId w:val="6"/>
  </w:num>
  <w:num w:numId="7" w16cid:durableId="1989816672">
    <w:abstractNumId w:val="10"/>
  </w:num>
  <w:num w:numId="8" w16cid:durableId="164445650">
    <w:abstractNumId w:val="1"/>
  </w:num>
  <w:num w:numId="9" w16cid:durableId="1337996717">
    <w:abstractNumId w:val="9"/>
  </w:num>
  <w:num w:numId="10" w16cid:durableId="502401610">
    <w:abstractNumId w:val="3"/>
  </w:num>
  <w:num w:numId="11" w16cid:durableId="499588517">
    <w:abstractNumId w:val="7"/>
  </w:num>
  <w:num w:numId="12" w16cid:durableId="6415461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467"/>
    <w:rsid w:val="0000306C"/>
    <w:rsid w:val="000061E8"/>
    <w:rsid w:val="00022EBC"/>
    <w:rsid w:val="00031391"/>
    <w:rsid w:val="0003280B"/>
    <w:rsid w:val="00035A0A"/>
    <w:rsid w:val="00037B15"/>
    <w:rsid w:val="0005418D"/>
    <w:rsid w:val="00054726"/>
    <w:rsid w:val="0006036C"/>
    <w:rsid w:val="00060C63"/>
    <w:rsid w:val="0006256D"/>
    <w:rsid w:val="00062C25"/>
    <w:rsid w:val="00065C21"/>
    <w:rsid w:val="00067B74"/>
    <w:rsid w:val="000720FA"/>
    <w:rsid w:val="000722D4"/>
    <w:rsid w:val="00072FC4"/>
    <w:rsid w:val="0007417B"/>
    <w:rsid w:val="00080752"/>
    <w:rsid w:val="00084F20"/>
    <w:rsid w:val="00090F82"/>
    <w:rsid w:val="00096396"/>
    <w:rsid w:val="000A324A"/>
    <w:rsid w:val="000A3B85"/>
    <w:rsid w:val="000B0F9A"/>
    <w:rsid w:val="000B39BA"/>
    <w:rsid w:val="000C0DA0"/>
    <w:rsid w:val="000C0E20"/>
    <w:rsid w:val="000C1B34"/>
    <w:rsid w:val="000C5CA8"/>
    <w:rsid w:val="000D05DC"/>
    <w:rsid w:val="000D46F6"/>
    <w:rsid w:val="000D4797"/>
    <w:rsid w:val="000E0916"/>
    <w:rsid w:val="000E4B83"/>
    <w:rsid w:val="000E4BBC"/>
    <w:rsid w:val="000E5363"/>
    <w:rsid w:val="000F2034"/>
    <w:rsid w:val="000F3624"/>
    <w:rsid w:val="000F4AC3"/>
    <w:rsid w:val="000F502C"/>
    <w:rsid w:val="00101255"/>
    <w:rsid w:val="001066BB"/>
    <w:rsid w:val="00107188"/>
    <w:rsid w:val="00115A80"/>
    <w:rsid w:val="00115FD8"/>
    <w:rsid w:val="001266A4"/>
    <w:rsid w:val="001404DC"/>
    <w:rsid w:val="0015356F"/>
    <w:rsid w:val="00154ADA"/>
    <w:rsid w:val="00155456"/>
    <w:rsid w:val="00156FB7"/>
    <w:rsid w:val="00161EFF"/>
    <w:rsid w:val="00170214"/>
    <w:rsid w:val="0017765C"/>
    <w:rsid w:val="001831DF"/>
    <w:rsid w:val="0019069F"/>
    <w:rsid w:val="001A1907"/>
    <w:rsid w:val="001A2467"/>
    <w:rsid w:val="001A2D34"/>
    <w:rsid w:val="001B0CD8"/>
    <w:rsid w:val="001B2B47"/>
    <w:rsid w:val="001B5383"/>
    <w:rsid w:val="001B57BF"/>
    <w:rsid w:val="001B60FD"/>
    <w:rsid w:val="001C5EDA"/>
    <w:rsid w:val="001D07A9"/>
    <w:rsid w:val="001E18C4"/>
    <w:rsid w:val="001E5CA2"/>
    <w:rsid w:val="001E7CA7"/>
    <w:rsid w:val="001F31DE"/>
    <w:rsid w:val="00200302"/>
    <w:rsid w:val="00205612"/>
    <w:rsid w:val="002077F9"/>
    <w:rsid w:val="002106DC"/>
    <w:rsid w:val="0021173F"/>
    <w:rsid w:val="00216D18"/>
    <w:rsid w:val="00222C0B"/>
    <w:rsid w:val="00230599"/>
    <w:rsid w:val="002317D2"/>
    <w:rsid w:val="0023538C"/>
    <w:rsid w:val="002356D6"/>
    <w:rsid w:val="002500EE"/>
    <w:rsid w:val="002503E5"/>
    <w:rsid w:val="0025440F"/>
    <w:rsid w:val="0026050F"/>
    <w:rsid w:val="00270147"/>
    <w:rsid w:val="00276334"/>
    <w:rsid w:val="00276D51"/>
    <w:rsid w:val="002777A3"/>
    <w:rsid w:val="0028135D"/>
    <w:rsid w:val="0028454A"/>
    <w:rsid w:val="00284B8C"/>
    <w:rsid w:val="00285ED3"/>
    <w:rsid w:val="00286868"/>
    <w:rsid w:val="0029080E"/>
    <w:rsid w:val="002A025A"/>
    <w:rsid w:val="002A2B9B"/>
    <w:rsid w:val="002A3EE5"/>
    <w:rsid w:val="002A6A9A"/>
    <w:rsid w:val="002C6529"/>
    <w:rsid w:val="002D71EA"/>
    <w:rsid w:val="002E1656"/>
    <w:rsid w:val="002E1BB7"/>
    <w:rsid w:val="002E2477"/>
    <w:rsid w:val="002E250D"/>
    <w:rsid w:val="002E6EDD"/>
    <w:rsid w:val="00302263"/>
    <w:rsid w:val="00302CA3"/>
    <w:rsid w:val="00322C5D"/>
    <w:rsid w:val="00324775"/>
    <w:rsid w:val="00326A76"/>
    <w:rsid w:val="003274C5"/>
    <w:rsid w:val="00331877"/>
    <w:rsid w:val="003334DC"/>
    <w:rsid w:val="003336A8"/>
    <w:rsid w:val="00335B81"/>
    <w:rsid w:val="00335E66"/>
    <w:rsid w:val="00344480"/>
    <w:rsid w:val="00346E73"/>
    <w:rsid w:val="003503A7"/>
    <w:rsid w:val="0035216E"/>
    <w:rsid w:val="0035281A"/>
    <w:rsid w:val="00357E1D"/>
    <w:rsid w:val="003713C8"/>
    <w:rsid w:val="00381689"/>
    <w:rsid w:val="00384C80"/>
    <w:rsid w:val="003909B7"/>
    <w:rsid w:val="003958DC"/>
    <w:rsid w:val="00396AD6"/>
    <w:rsid w:val="003A360F"/>
    <w:rsid w:val="003A70A3"/>
    <w:rsid w:val="003A7ED8"/>
    <w:rsid w:val="003B768F"/>
    <w:rsid w:val="003B7B58"/>
    <w:rsid w:val="003D0712"/>
    <w:rsid w:val="003D1A4A"/>
    <w:rsid w:val="003D3315"/>
    <w:rsid w:val="003D3495"/>
    <w:rsid w:val="003D40E6"/>
    <w:rsid w:val="003E1007"/>
    <w:rsid w:val="003E5544"/>
    <w:rsid w:val="003E55C0"/>
    <w:rsid w:val="003E5942"/>
    <w:rsid w:val="003E752F"/>
    <w:rsid w:val="003E7802"/>
    <w:rsid w:val="003E7EA6"/>
    <w:rsid w:val="003F0FE1"/>
    <w:rsid w:val="003F3EF5"/>
    <w:rsid w:val="003F46F1"/>
    <w:rsid w:val="003F61DC"/>
    <w:rsid w:val="003F640D"/>
    <w:rsid w:val="0040197B"/>
    <w:rsid w:val="004037E9"/>
    <w:rsid w:val="00407BC0"/>
    <w:rsid w:val="00412557"/>
    <w:rsid w:val="00412E96"/>
    <w:rsid w:val="00413F7F"/>
    <w:rsid w:val="00415441"/>
    <w:rsid w:val="004168B9"/>
    <w:rsid w:val="0041772B"/>
    <w:rsid w:val="00425961"/>
    <w:rsid w:val="00427AE8"/>
    <w:rsid w:val="004318A8"/>
    <w:rsid w:val="004326B2"/>
    <w:rsid w:val="004331C9"/>
    <w:rsid w:val="00433316"/>
    <w:rsid w:val="004348C2"/>
    <w:rsid w:val="0044394E"/>
    <w:rsid w:val="00444B54"/>
    <w:rsid w:val="004471D0"/>
    <w:rsid w:val="004508F9"/>
    <w:rsid w:val="00450AA1"/>
    <w:rsid w:val="00451A48"/>
    <w:rsid w:val="004527E1"/>
    <w:rsid w:val="00453911"/>
    <w:rsid w:val="00455DE1"/>
    <w:rsid w:val="00463768"/>
    <w:rsid w:val="004663E9"/>
    <w:rsid w:val="00467368"/>
    <w:rsid w:val="00467900"/>
    <w:rsid w:val="0047029C"/>
    <w:rsid w:val="00470C9C"/>
    <w:rsid w:val="00474DBA"/>
    <w:rsid w:val="00474F10"/>
    <w:rsid w:val="00475098"/>
    <w:rsid w:val="004760B8"/>
    <w:rsid w:val="00476C1D"/>
    <w:rsid w:val="00477567"/>
    <w:rsid w:val="00482F5B"/>
    <w:rsid w:val="0048392F"/>
    <w:rsid w:val="00483F04"/>
    <w:rsid w:val="00490A86"/>
    <w:rsid w:val="0049160A"/>
    <w:rsid w:val="004A0763"/>
    <w:rsid w:val="004B722A"/>
    <w:rsid w:val="004C08B7"/>
    <w:rsid w:val="004C08FF"/>
    <w:rsid w:val="004C61D9"/>
    <w:rsid w:val="004D07F8"/>
    <w:rsid w:val="004D6BE1"/>
    <w:rsid w:val="004E31EF"/>
    <w:rsid w:val="004E5F40"/>
    <w:rsid w:val="004E6A74"/>
    <w:rsid w:val="004F0E03"/>
    <w:rsid w:val="004F2CFA"/>
    <w:rsid w:val="004F35D4"/>
    <w:rsid w:val="004F3EF8"/>
    <w:rsid w:val="004F4524"/>
    <w:rsid w:val="004F60D8"/>
    <w:rsid w:val="004F753A"/>
    <w:rsid w:val="005000F8"/>
    <w:rsid w:val="00504F42"/>
    <w:rsid w:val="00506337"/>
    <w:rsid w:val="00522B2D"/>
    <w:rsid w:val="00526515"/>
    <w:rsid w:val="005270B3"/>
    <w:rsid w:val="00530706"/>
    <w:rsid w:val="00543181"/>
    <w:rsid w:val="00543784"/>
    <w:rsid w:val="00547E7C"/>
    <w:rsid w:val="0055047E"/>
    <w:rsid w:val="005508D7"/>
    <w:rsid w:val="00553049"/>
    <w:rsid w:val="00560BBC"/>
    <w:rsid w:val="005626ED"/>
    <w:rsid w:val="00567677"/>
    <w:rsid w:val="0057032B"/>
    <w:rsid w:val="00571543"/>
    <w:rsid w:val="00573996"/>
    <w:rsid w:val="00576C3C"/>
    <w:rsid w:val="005870A3"/>
    <w:rsid w:val="0058EAD3"/>
    <w:rsid w:val="00591C40"/>
    <w:rsid w:val="00593C8F"/>
    <w:rsid w:val="005940EC"/>
    <w:rsid w:val="00595BD7"/>
    <w:rsid w:val="005968AB"/>
    <w:rsid w:val="00597892"/>
    <w:rsid w:val="005A6B87"/>
    <w:rsid w:val="005B1C06"/>
    <w:rsid w:val="005B20CF"/>
    <w:rsid w:val="005B2270"/>
    <w:rsid w:val="005B2D61"/>
    <w:rsid w:val="005B3033"/>
    <w:rsid w:val="005B35B0"/>
    <w:rsid w:val="005B455F"/>
    <w:rsid w:val="005B57F9"/>
    <w:rsid w:val="005C1A98"/>
    <w:rsid w:val="005C22B1"/>
    <w:rsid w:val="005C42A1"/>
    <w:rsid w:val="005C5C7C"/>
    <w:rsid w:val="005C7B49"/>
    <w:rsid w:val="005D0340"/>
    <w:rsid w:val="005D282B"/>
    <w:rsid w:val="005D6A4D"/>
    <w:rsid w:val="005D71D0"/>
    <w:rsid w:val="005E00DD"/>
    <w:rsid w:val="005E2D7D"/>
    <w:rsid w:val="005E2FF8"/>
    <w:rsid w:val="005E43CD"/>
    <w:rsid w:val="005E5E08"/>
    <w:rsid w:val="005E6815"/>
    <w:rsid w:val="005E7234"/>
    <w:rsid w:val="005E7FF3"/>
    <w:rsid w:val="005F2450"/>
    <w:rsid w:val="006025B4"/>
    <w:rsid w:val="00612A20"/>
    <w:rsid w:val="006142C7"/>
    <w:rsid w:val="00615F67"/>
    <w:rsid w:val="006261BF"/>
    <w:rsid w:val="006271FF"/>
    <w:rsid w:val="006341C5"/>
    <w:rsid w:val="006358F1"/>
    <w:rsid w:val="00641147"/>
    <w:rsid w:val="0064201A"/>
    <w:rsid w:val="00642D1D"/>
    <w:rsid w:val="00656746"/>
    <w:rsid w:val="006623C5"/>
    <w:rsid w:val="006625D9"/>
    <w:rsid w:val="00665F10"/>
    <w:rsid w:val="006738D6"/>
    <w:rsid w:val="00674CB1"/>
    <w:rsid w:val="00680C1F"/>
    <w:rsid w:val="00680C90"/>
    <w:rsid w:val="00683A28"/>
    <w:rsid w:val="00686C2C"/>
    <w:rsid w:val="00691F5E"/>
    <w:rsid w:val="00696559"/>
    <w:rsid w:val="006A049F"/>
    <w:rsid w:val="006A1E2C"/>
    <w:rsid w:val="006A4C50"/>
    <w:rsid w:val="006A6F43"/>
    <w:rsid w:val="006B127F"/>
    <w:rsid w:val="006B2A84"/>
    <w:rsid w:val="006B746D"/>
    <w:rsid w:val="006B7E0D"/>
    <w:rsid w:val="006C143E"/>
    <w:rsid w:val="006C26D8"/>
    <w:rsid w:val="006C29D6"/>
    <w:rsid w:val="006C7704"/>
    <w:rsid w:val="006D2FE4"/>
    <w:rsid w:val="006D3C59"/>
    <w:rsid w:val="006D8841"/>
    <w:rsid w:val="006E1233"/>
    <w:rsid w:val="006E201B"/>
    <w:rsid w:val="006E630A"/>
    <w:rsid w:val="006E68D2"/>
    <w:rsid w:val="006E702F"/>
    <w:rsid w:val="006F33A8"/>
    <w:rsid w:val="006F5CB9"/>
    <w:rsid w:val="0070036C"/>
    <w:rsid w:val="0070341F"/>
    <w:rsid w:val="00704214"/>
    <w:rsid w:val="00706116"/>
    <w:rsid w:val="00716DCB"/>
    <w:rsid w:val="00721463"/>
    <w:rsid w:val="0072210B"/>
    <w:rsid w:val="007340ED"/>
    <w:rsid w:val="00740188"/>
    <w:rsid w:val="00741DB5"/>
    <w:rsid w:val="007424CC"/>
    <w:rsid w:val="0074714A"/>
    <w:rsid w:val="007474D4"/>
    <w:rsid w:val="00760142"/>
    <w:rsid w:val="00767951"/>
    <w:rsid w:val="007708B6"/>
    <w:rsid w:val="00772D1E"/>
    <w:rsid w:val="00773C4D"/>
    <w:rsid w:val="00777B50"/>
    <w:rsid w:val="00780222"/>
    <w:rsid w:val="007845FD"/>
    <w:rsid w:val="00784948"/>
    <w:rsid w:val="00791E5C"/>
    <w:rsid w:val="007975D3"/>
    <w:rsid w:val="007A1467"/>
    <w:rsid w:val="007A233A"/>
    <w:rsid w:val="007A757C"/>
    <w:rsid w:val="007B62C1"/>
    <w:rsid w:val="007C25C5"/>
    <w:rsid w:val="007C3094"/>
    <w:rsid w:val="007C42EB"/>
    <w:rsid w:val="007D1290"/>
    <w:rsid w:val="007D12AB"/>
    <w:rsid w:val="007D1D8D"/>
    <w:rsid w:val="007D4640"/>
    <w:rsid w:val="007D7D44"/>
    <w:rsid w:val="007E085B"/>
    <w:rsid w:val="007E2E07"/>
    <w:rsid w:val="007E35F7"/>
    <w:rsid w:val="007E572C"/>
    <w:rsid w:val="007E60CE"/>
    <w:rsid w:val="00800E0E"/>
    <w:rsid w:val="00803FFD"/>
    <w:rsid w:val="0080451B"/>
    <w:rsid w:val="00805D24"/>
    <w:rsid w:val="00806921"/>
    <w:rsid w:val="00813712"/>
    <w:rsid w:val="00814F35"/>
    <w:rsid w:val="00815C07"/>
    <w:rsid w:val="00816FCC"/>
    <w:rsid w:val="00820E43"/>
    <w:rsid w:val="00821703"/>
    <w:rsid w:val="00821A2B"/>
    <w:rsid w:val="00825B6C"/>
    <w:rsid w:val="00826567"/>
    <w:rsid w:val="00827E12"/>
    <w:rsid w:val="00836231"/>
    <w:rsid w:val="00842E90"/>
    <w:rsid w:val="00862BDD"/>
    <w:rsid w:val="00863548"/>
    <w:rsid w:val="00864C79"/>
    <w:rsid w:val="008665AE"/>
    <w:rsid w:val="0086776C"/>
    <w:rsid w:val="00870B39"/>
    <w:rsid w:val="0087296E"/>
    <w:rsid w:val="00873FAB"/>
    <w:rsid w:val="0087401F"/>
    <w:rsid w:val="00874AD0"/>
    <w:rsid w:val="00874FF4"/>
    <w:rsid w:val="0088109A"/>
    <w:rsid w:val="008863DB"/>
    <w:rsid w:val="00887052"/>
    <w:rsid w:val="008913C5"/>
    <w:rsid w:val="00891431"/>
    <w:rsid w:val="00892DD2"/>
    <w:rsid w:val="00897661"/>
    <w:rsid w:val="008A0C18"/>
    <w:rsid w:val="008A683C"/>
    <w:rsid w:val="008A6EDB"/>
    <w:rsid w:val="008B363F"/>
    <w:rsid w:val="008B4031"/>
    <w:rsid w:val="008C0867"/>
    <w:rsid w:val="008C0A5D"/>
    <w:rsid w:val="008C5956"/>
    <w:rsid w:val="008D64A4"/>
    <w:rsid w:val="008D70D2"/>
    <w:rsid w:val="008D7E4C"/>
    <w:rsid w:val="008E162B"/>
    <w:rsid w:val="008E2FE7"/>
    <w:rsid w:val="008E7F97"/>
    <w:rsid w:val="008F6097"/>
    <w:rsid w:val="008F60D5"/>
    <w:rsid w:val="009059D8"/>
    <w:rsid w:val="009060E2"/>
    <w:rsid w:val="00911614"/>
    <w:rsid w:val="009161CA"/>
    <w:rsid w:val="00922953"/>
    <w:rsid w:val="009229F4"/>
    <w:rsid w:val="00923E47"/>
    <w:rsid w:val="00926089"/>
    <w:rsid w:val="00927A1B"/>
    <w:rsid w:val="00927F82"/>
    <w:rsid w:val="009369D6"/>
    <w:rsid w:val="009402FC"/>
    <w:rsid w:val="00945EA8"/>
    <w:rsid w:val="009534D3"/>
    <w:rsid w:val="009567FA"/>
    <w:rsid w:val="00956CD7"/>
    <w:rsid w:val="00963059"/>
    <w:rsid w:val="009704FC"/>
    <w:rsid w:val="00971046"/>
    <w:rsid w:val="00993BD5"/>
    <w:rsid w:val="009974B4"/>
    <w:rsid w:val="00997A42"/>
    <w:rsid w:val="00997E63"/>
    <w:rsid w:val="009A21E4"/>
    <w:rsid w:val="009A2735"/>
    <w:rsid w:val="009A2F70"/>
    <w:rsid w:val="009B12DF"/>
    <w:rsid w:val="009B5557"/>
    <w:rsid w:val="009B561D"/>
    <w:rsid w:val="009B70F5"/>
    <w:rsid w:val="009B7F9E"/>
    <w:rsid w:val="009C2720"/>
    <w:rsid w:val="009C27AF"/>
    <w:rsid w:val="009C7E38"/>
    <w:rsid w:val="009D48B0"/>
    <w:rsid w:val="009D5597"/>
    <w:rsid w:val="009D5983"/>
    <w:rsid w:val="009E07FF"/>
    <w:rsid w:val="009E4221"/>
    <w:rsid w:val="009E5409"/>
    <w:rsid w:val="009F103A"/>
    <w:rsid w:val="009F2E59"/>
    <w:rsid w:val="009F5570"/>
    <w:rsid w:val="009F774D"/>
    <w:rsid w:val="009F77F6"/>
    <w:rsid w:val="00A01B3F"/>
    <w:rsid w:val="00A02390"/>
    <w:rsid w:val="00A108EA"/>
    <w:rsid w:val="00A119B6"/>
    <w:rsid w:val="00A11AF8"/>
    <w:rsid w:val="00A12BAB"/>
    <w:rsid w:val="00A14349"/>
    <w:rsid w:val="00A21244"/>
    <w:rsid w:val="00A23352"/>
    <w:rsid w:val="00A24F7F"/>
    <w:rsid w:val="00A27EE5"/>
    <w:rsid w:val="00A322FD"/>
    <w:rsid w:val="00A341F4"/>
    <w:rsid w:val="00A4076D"/>
    <w:rsid w:val="00A40D42"/>
    <w:rsid w:val="00A41394"/>
    <w:rsid w:val="00A46318"/>
    <w:rsid w:val="00A5760F"/>
    <w:rsid w:val="00A610A0"/>
    <w:rsid w:val="00A624CA"/>
    <w:rsid w:val="00A6474A"/>
    <w:rsid w:val="00A65C2E"/>
    <w:rsid w:val="00A66B86"/>
    <w:rsid w:val="00A71AAA"/>
    <w:rsid w:val="00A7373C"/>
    <w:rsid w:val="00A8359D"/>
    <w:rsid w:val="00A92370"/>
    <w:rsid w:val="00A931C4"/>
    <w:rsid w:val="00A94050"/>
    <w:rsid w:val="00A94648"/>
    <w:rsid w:val="00A9575F"/>
    <w:rsid w:val="00A95B58"/>
    <w:rsid w:val="00A97470"/>
    <w:rsid w:val="00AA67FF"/>
    <w:rsid w:val="00AA707F"/>
    <w:rsid w:val="00AA7946"/>
    <w:rsid w:val="00AA7A1F"/>
    <w:rsid w:val="00AB2F11"/>
    <w:rsid w:val="00AB3C22"/>
    <w:rsid w:val="00AB4B09"/>
    <w:rsid w:val="00AB7189"/>
    <w:rsid w:val="00AC0EE6"/>
    <w:rsid w:val="00AC1628"/>
    <w:rsid w:val="00AC2633"/>
    <w:rsid w:val="00AC3F90"/>
    <w:rsid w:val="00AC6AD6"/>
    <w:rsid w:val="00AD05FA"/>
    <w:rsid w:val="00AD228F"/>
    <w:rsid w:val="00AD380E"/>
    <w:rsid w:val="00AD4D52"/>
    <w:rsid w:val="00AD4F81"/>
    <w:rsid w:val="00AD51D5"/>
    <w:rsid w:val="00AD75CF"/>
    <w:rsid w:val="00AE373A"/>
    <w:rsid w:val="00AE3C15"/>
    <w:rsid w:val="00AE559D"/>
    <w:rsid w:val="00AF1925"/>
    <w:rsid w:val="00AF29EA"/>
    <w:rsid w:val="00AF2D52"/>
    <w:rsid w:val="00AF7BD4"/>
    <w:rsid w:val="00B06C41"/>
    <w:rsid w:val="00B071AF"/>
    <w:rsid w:val="00B07A5A"/>
    <w:rsid w:val="00B12196"/>
    <w:rsid w:val="00B174BA"/>
    <w:rsid w:val="00B265FF"/>
    <w:rsid w:val="00B26FA5"/>
    <w:rsid w:val="00B304ED"/>
    <w:rsid w:val="00B30CD4"/>
    <w:rsid w:val="00B31B97"/>
    <w:rsid w:val="00B3372F"/>
    <w:rsid w:val="00B42176"/>
    <w:rsid w:val="00B42908"/>
    <w:rsid w:val="00B44A0C"/>
    <w:rsid w:val="00B50EC2"/>
    <w:rsid w:val="00B56BC4"/>
    <w:rsid w:val="00B6240B"/>
    <w:rsid w:val="00B62997"/>
    <w:rsid w:val="00B74620"/>
    <w:rsid w:val="00B754B2"/>
    <w:rsid w:val="00B805E9"/>
    <w:rsid w:val="00B83E7D"/>
    <w:rsid w:val="00B86ED2"/>
    <w:rsid w:val="00B87D10"/>
    <w:rsid w:val="00B950B9"/>
    <w:rsid w:val="00B96CEB"/>
    <w:rsid w:val="00BA1AFB"/>
    <w:rsid w:val="00BA3B3C"/>
    <w:rsid w:val="00BA3B54"/>
    <w:rsid w:val="00BB2F10"/>
    <w:rsid w:val="00BB7815"/>
    <w:rsid w:val="00BB7A89"/>
    <w:rsid w:val="00BC686B"/>
    <w:rsid w:val="00BD17B9"/>
    <w:rsid w:val="00BD6411"/>
    <w:rsid w:val="00BD6E9E"/>
    <w:rsid w:val="00BF06FC"/>
    <w:rsid w:val="00C032AC"/>
    <w:rsid w:val="00C047BE"/>
    <w:rsid w:val="00C052B0"/>
    <w:rsid w:val="00C052DF"/>
    <w:rsid w:val="00C117E7"/>
    <w:rsid w:val="00C22167"/>
    <w:rsid w:val="00C231D9"/>
    <w:rsid w:val="00C231DD"/>
    <w:rsid w:val="00C26104"/>
    <w:rsid w:val="00C33A27"/>
    <w:rsid w:val="00C43729"/>
    <w:rsid w:val="00C449C5"/>
    <w:rsid w:val="00C5512F"/>
    <w:rsid w:val="00C55EBD"/>
    <w:rsid w:val="00C56402"/>
    <w:rsid w:val="00C6014F"/>
    <w:rsid w:val="00C622C8"/>
    <w:rsid w:val="00C64973"/>
    <w:rsid w:val="00C65351"/>
    <w:rsid w:val="00C6656F"/>
    <w:rsid w:val="00C66B51"/>
    <w:rsid w:val="00C75C94"/>
    <w:rsid w:val="00C77B7C"/>
    <w:rsid w:val="00C845A3"/>
    <w:rsid w:val="00C85CAC"/>
    <w:rsid w:val="00C90CB6"/>
    <w:rsid w:val="00C96344"/>
    <w:rsid w:val="00CA0197"/>
    <w:rsid w:val="00CA174B"/>
    <w:rsid w:val="00CA2515"/>
    <w:rsid w:val="00CA5E27"/>
    <w:rsid w:val="00CB1A95"/>
    <w:rsid w:val="00CB1F33"/>
    <w:rsid w:val="00CB3B69"/>
    <w:rsid w:val="00CC278E"/>
    <w:rsid w:val="00CC611E"/>
    <w:rsid w:val="00CD1810"/>
    <w:rsid w:val="00CD3463"/>
    <w:rsid w:val="00CE4241"/>
    <w:rsid w:val="00CF0EEB"/>
    <w:rsid w:val="00CF133C"/>
    <w:rsid w:val="00CF17CD"/>
    <w:rsid w:val="00CF26D6"/>
    <w:rsid w:val="00CF5685"/>
    <w:rsid w:val="00D06A73"/>
    <w:rsid w:val="00D11C60"/>
    <w:rsid w:val="00D12D33"/>
    <w:rsid w:val="00D15078"/>
    <w:rsid w:val="00D16B85"/>
    <w:rsid w:val="00D1782F"/>
    <w:rsid w:val="00D20352"/>
    <w:rsid w:val="00D2291D"/>
    <w:rsid w:val="00D2526E"/>
    <w:rsid w:val="00D26294"/>
    <w:rsid w:val="00D3133C"/>
    <w:rsid w:val="00D31BC2"/>
    <w:rsid w:val="00D31C29"/>
    <w:rsid w:val="00D336F2"/>
    <w:rsid w:val="00D352A7"/>
    <w:rsid w:val="00D3541B"/>
    <w:rsid w:val="00D374E2"/>
    <w:rsid w:val="00D40203"/>
    <w:rsid w:val="00D46274"/>
    <w:rsid w:val="00D521F0"/>
    <w:rsid w:val="00D5324E"/>
    <w:rsid w:val="00D569B3"/>
    <w:rsid w:val="00D606A5"/>
    <w:rsid w:val="00D6593A"/>
    <w:rsid w:val="00D65AC5"/>
    <w:rsid w:val="00D6699B"/>
    <w:rsid w:val="00D67722"/>
    <w:rsid w:val="00D7137A"/>
    <w:rsid w:val="00D73213"/>
    <w:rsid w:val="00D758AC"/>
    <w:rsid w:val="00D765B3"/>
    <w:rsid w:val="00D91331"/>
    <w:rsid w:val="00D917DB"/>
    <w:rsid w:val="00DB07F2"/>
    <w:rsid w:val="00DB3EA7"/>
    <w:rsid w:val="00DC253A"/>
    <w:rsid w:val="00DC7E7B"/>
    <w:rsid w:val="00DC7EDA"/>
    <w:rsid w:val="00DD30A1"/>
    <w:rsid w:val="00DD7652"/>
    <w:rsid w:val="00DE15B9"/>
    <w:rsid w:val="00DE58A4"/>
    <w:rsid w:val="00DE7DA0"/>
    <w:rsid w:val="00DF1AEA"/>
    <w:rsid w:val="00DF1BA5"/>
    <w:rsid w:val="00DF270D"/>
    <w:rsid w:val="00DF3662"/>
    <w:rsid w:val="00DF41C2"/>
    <w:rsid w:val="00DF5EF7"/>
    <w:rsid w:val="00DF7826"/>
    <w:rsid w:val="00DF7DD3"/>
    <w:rsid w:val="00E00317"/>
    <w:rsid w:val="00E01DB3"/>
    <w:rsid w:val="00E07BB9"/>
    <w:rsid w:val="00E10016"/>
    <w:rsid w:val="00E135E9"/>
    <w:rsid w:val="00E178CE"/>
    <w:rsid w:val="00E21A59"/>
    <w:rsid w:val="00E23D59"/>
    <w:rsid w:val="00E3499D"/>
    <w:rsid w:val="00E34FB8"/>
    <w:rsid w:val="00E3503E"/>
    <w:rsid w:val="00E3589D"/>
    <w:rsid w:val="00E40F86"/>
    <w:rsid w:val="00E42405"/>
    <w:rsid w:val="00E43879"/>
    <w:rsid w:val="00E45FEC"/>
    <w:rsid w:val="00E5334B"/>
    <w:rsid w:val="00E577C8"/>
    <w:rsid w:val="00E6159D"/>
    <w:rsid w:val="00E62ACB"/>
    <w:rsid w:val="00E63637"/>
    <w:rsid w:val="00E67720"/>
    <w:rsid w:val="00E7092F"/>
    <w:rsid w:val="00E76CA0"/>
    <w:rsid w:val="00E847AD"/>
    <w:rsid w:val="00E91A3A"/>
    <w:rsid w:val="00E97232"/>
    <w:rsid w:val="00E97F33"/>
    <w:rsid w:val="00EA3781"/>
    <w:rsid w:val="00EA3BB3"/>
    <w:rsid w:val="00EB01FE"/>
    <w:rsid w:val="00EB2C95"/>
    <w:rsid w:val="00EB709B"/>
    <w:rsid w:val="00EC056D"/>
    <w:rsid w:val="00EC1745"/>
    <w:rsid w:val="00EC5880"/>
    <w:rsid w:val="00ED2596"/>
    <w:rsid w:val="00ED5512"/>
    <w:rsid w:val="00EE28EA"/>
    <w:rsid w:val="00EE5E27"/>
    <w:rsid w:val="00EF1378"/>
    <w:rsid w:val="00EF18CA"/>
    <w:rsid w:val="00EF6EEF"/>
    <w:rsid w:val="00EF73EE"/>
    <w:rsid w:val="00F01A88"/>
    <w:rsid w:val="00F0243B"/>
    <w:rsid w:val="00F02F92"/>
    <w:rsid w:val="00F03733"/>
    <w:rsid w:val="00F04E4A"/>
    <w:rsid w:val="00F04F95"/>
    <w:rsid w:val="00F10EE7"/>
    <w:rsid w:val="00F13BF6"/>
    <w:rsid w:val="00F154D3"/>
    <w:rsid w:val="00F15A3D"/>
    <w:rsid w:val="00F17F05"/>
    <w:rsid w:val="00F22662"/>
    <w:rsid w:val="00F23D47"/>
    <w:rsid w:val="00F3130D"/>
    <w:rsid w:val="00F32ECC"/>
    <w:rsid w:val="00F33A85"/>
    <w:rsid w:val="00F340DC"/>
    <w:rsid w:val="00F4322F"/>
    <w:rsid w:val="00F435B2"/>
    <w:rsid w:val="00F446F2"/>
    <w:rsid w:val="00F45FF7"/>
    <w:rsid w:val="00F46ACB"/>
    <w:rsid w:val="00F47CCD"/>
    <w:rsid w:val="00F50257"/>
    <w:rsid w:val="00F51217"/>
    <w:rsid w:val="00F521A5"/>
    <w:rsid w:val="00F53715"/>
    <w:rsid w:val="00F550FC"/>
    <w:rsid w:val="00F55566"/>
    <w:rsid w:val="00F55757"/>
    <w:rsid w:val="00F5667C"/>
    <w:rsid w:val="00F61657"/>
    <w:rsid w:val="00F63272"/>
    <w:rsid w:val="00F716C8"/>
    <w:rsid w:val="00F72E77"/>
    <w:rsid w:val="00F80572"/>
    <w:rsid w:val="00F811AE"/>
    <w:rsid w:val="00F81D77"/>
    <w:rsid w:val="00F8287C"/>
    <w:rsid w:val="00F85845"/>
    <w:rsid w:val="00F86B93"/>
    <w:rsid w:val="00FA2338"/>
    <w:rsid w:val="00FA3FE3"/>
    <w:rsid w:val="00FB4010"/>
    <w:rsid w:val="00FB4683"/>
    <w:rsid w:val="00FB5641"/>
    <w:rsid w:val="00FC0519"/>
    <w:rsid w:val="00FC6ABC"/>
    <w:rsid w:val="00FD12AC"/>
    <w:rsid w:val="00FD27DC"/>
    <w:rsid w:val="00FD3475"/>
    <w:rsid w:val="00FF246E"/>
    <w:rsid w:val="00FF27D2"/>
    <w:rsid w:val="01309EA4"/>
    <w:rsid w:val="019B51DD"/>
    <w:rsid w:val="01A63B2E"/>
    <w:rsid w:val="01E1AE6B"/>
    <w:rsid w:val="02113F33"/>
    <w:rsid w:val="022AD0DE"/>
    <w:rsid w:val="022C9C59"/>
    <w:rsid w:val="0249A6A0"/>
    <w:rsid w:val="02563622"/>
    <w:rsid w:val="02C6D5FD"/>
    <w:rsid w:val="02C82A93"/>
    <w:rsid w:val="02EA695A"/>
    <w:rsid w:val="03901197"/>
    <w:rsid w:val="03904688"/>
    <w:rsid w:val="04FA4733"/>
    <w:rsid w:val="05128650"/>
    <w:rsid w:val="0525FD37"/>
    <w:rsid w:val="053D0DF1"/>
    <w:rsid w:val="065F8AAB"/>
    <w:rsid w:val="07F7D069"/>
    <w:rsid w:val="084AEC31"/>
    <w:rsid w:val="086025A1"/>
    <w:rsid w:val="089E28C2"/>
    <w:rsid w:val="08B4FB53"/>
    <w:rsid w:val="08C757EC"/>
    <w:rsid w:val="0A0CA9D8"/>
    <w:rsid w:val="0A6EC739"/>
    <w:rsid w:val="0A6F5BB0"/>
    <w:rsid w:val="0B04CF52"/>
    <w:rsid w:val="0B0CFF22"/>
    <w:rsid w:val="0D1DBC06"/>
    <w:rsid w:val="0D2C2D34"/>
    <w:rsid w:val="0D715EC9"/>
    <w:rsid w:val="0D74D71B"/>
    <w:rsid w:val="0DA664FA"/>
    <w:rsid w:val="0DAC6A8A"/>
    <w:rsid w:val="0DB966D9"/>
    <w:rsid w:val="0E6F30A9"/>
    <w:rsid w:val="0E9AA216"/>
    <w:rsid w:val="0FB076C9"/>
    <w:rsid w:val="10585BD9"/>
    <w:rsid w:val="10AF6D33"/>
    <w:rsid w:val="10F8148E"/>
    <w:rsid w:val="1128BE27"/>
    <w:rsid w:val="113E5B6D"/>
    <w:rsid w:val="11753CFA"/>
    <w:rsid w:val="118DF51D"/>
    <w:rsid w:val="11D5E4EA"/>
    <w:rsid w:val="11E912D9"/>
    <w:rsid w:val="120F36FE"/>
    <w:rsid w:val="123F08F2"/>
    <w:rsid w:val="128A5F54"/>
    <w:rsid w:val="12938ABC"/>
    <w:rsid w:val="12B4467F"/>
    <w:rsid w:val="12EE903F"/>
    <w:rsid w:val="134F13DE"/>
    <w:rsid w:val="1360D317"/>
    <w:rsid w:val="1392DAA0"/>
    <w:rsid w:val="13AC3894"/>
    <w:rsid w:val="13B7C56C"/>
    <w:rsid w:val="13B9FDE5"/>
    <w:rsid w:val="13C13D4F"/>
    <w:rsid w:val="13FAA107"/>
    <w:rsid w:val="14673849"/>
    <w:rsid w:val="14D27F74"/>
    <w:rsid w:val="14D6F2D2"/>
    <w:rsid w:val="155D0DB0"/>
    <w:rsid w:val="156DE1B1"/>
    <w:rsid w:val="158B8EED"/>
    <w:rsid w:val="15947B95"/>
    <w:rsid w:val="15FFB2D3"/>
    <w:rsid w:val="16169874"/>
    <w:rsid w:val="16306B26"/>
    <w:rsid w:val="16412639"/>
    <w:rsid w:val="167825EC"/>
    <w:rsid w:val="16861D28"/>
    <w:rsid w:val="16F507C5"/>
    <w:rsid w:val="1713A789"/>
    <w:rsid w:val="173E891E"/>
    <w:rsid w:val="1774BCB3"/>
    <w:rsid w:val="17C97607"/>
    <w:rsid w:val="17F2BD87"/>
    <w:rsid w:val="18A4EAFB"/>
    <w:rsid w:val="18B4742B"/>
    <w:rsid w:val="18BFC489"/>
    <w:rsid w:val="18FEB32E"/>
    <w:rsid w:val="1919B9D4"/>
    <w:rsid w:val="191E6750"/>
    <w:rsid w:val="19D26D60"/>
    <w:rsid w:val="19F4D401"/>
    <w:rsid w:val="1A0E3B1D"/>
    <w:rsid w:val="1BC65AE7"/>
    <w:rsid w:val="1C1079AB"/>
    <w:rsid w:val="1C1E054A"/>
    <w:rsid w:val="1C287318"/>
    <w:rsid w:val="1C32F283"/>
    <w:rsid w:val="1D6CF179"/>
    <w:rsid w:val="1E06DC1B"/>
    <w:rsid w:val="1E24D8E7"/>
    <w:rsid w:val="1E3DC6E5"/>
    <w:rsid w:val="1E612F5D"/>
    <w:rsid w:val="1E682502"/>
    <w:rsid w:val="1E750AE5"/>
    <w:rsid w:val="1EAC4043"/>
    <w:rsid w:val="1ED64D3A"/>
    <w:rsid w:val="1EE4D479"/>
    <w:rsid w:val="1F35A179"/>
    <w:rsid w:val="1F437313"/>
    <w:rsid w:val="1F6DF4B2"/>
    <w:rsid w:val="1FA2F932"/>
    <w:rsid w:val="1FCD8524"/>
    <w:rsid w:val="1FD048D0"/>
    <w:rsid w:val="2005F639"/>
    <w:rsid w:val="2053791E"/>
    <w:rsid w:val="206AA14A"/>
    <w:rsid w:val="208F9155"/>
    <w:rsid w:val="20CA10C6"/>
    <w:rsid w:val="21B446E4"/>
    <w:rsid w:val="21C7A0DF"/>
    <w:rsid w:val="2217610E"/>
    <w:rsid w:val="2229CCE3"/>
    <w:rsid w:val="2240091F"/>
    <w:rsid w:val="226D11BD"/>
    <w:rsid w:val="234B3235"/>
    <w:rsid w:val="24A5A0AC"/>
    <w:rsid w:val="24CD5C7D"/>
    <w:rsid w:val="253D4824"/>
    <w:rsid w:val="25525F12"/>
    <w:rsid w:val="25A8B908"/>
    <w:rsid w:val="266E51B2"/>
    <w:rsid w:val="26770CDC"/>
    <w:rsid w:val="2680296B"/>
    <w:rsid w:val="26ABB65C"/>
    <w:rsid w:val="26B509AF"/>
    <w:rsid w:val="26BBBE0D"/>
    <w:rsid w:val="26F360D6"/>
    <w:rsid w:val="27B1A7B8"/>
    <w:rsid w:val="27B586D5"/>
    <w:rsid w:val="27EA6390"/>
    <w:rsid w:val="2802C4CE"/>
    <w:rsid w:val="280C77C1"/>
    <w:rsid w:val="285A12F4"/>
    <w:rsid w:val="292F2FC4"/>
    <w:rsid w:val="2995965A"/>
    <w:rsid w:val="2A17E3FD"/>
    <w:rsid w:val="2A3DB6C9"/>
    <w:rsid w:val="2AF3397D"/>
    <w:rsid w:val="2B1C7A54"/>
    <w:rsid w:val="2B55F04F"/>
    <w:rsid w:val="2B6663C9"/>
    <w:rsid w:val="2B69DAC8"/>
    <w:rsid w:val="2B8C70DF"/>
    <w:rsid w:val="2B8E7593"/>
    <w:rsid w:val="2BF03385"/>
    <w:rsid w:val="2C09D413"/>
    <w:rsid w:val="2C3612DF"/>
    <w:rsid w:val="2CD635F1"/>
    <w:rsid w:val="2D4E4E56"/>
    <w:rsid w:val="2DBBD70E"/>
    <w:rsid w:val="2DE5D819"/>
    <w:rsid w:val="2E161310"/>
    <w:rsid w:val="2E24BB07"/>
    <w:rsid w:val="2F401EA7"/>
    <w:rsid w:val="2F73A0EB"/>
    <w:rsid w:val="2F7C4629"/>
    <w:rsid w:val="2FA22B9D"/>
    <w:rsid w:val="2FD88A0E"/>
    <w:rsid w:val="2FF4B891"/>
    <w:rsid w:val="2FF58716"/>
    <w:rsid w:val="3006B147"/>
    <w:rsid w:val="3099A536"/>
    <w:rsid w:val="30D1D673"/>
    <w:rsid w:val="317A0D05"/>
    <w:rsid w:val="3188A15A"/>
    <w:rsid w:val="318ACC0C"/>
    <w:rsid w:val="31F3B2D7"/>
    <w:rsid w:val="32657E12"/>
    <w:rsid w:val="327C604A"/>
    <w:rsid w:val="327EA056"/>
    <w:rsid w:val="32BDD18C"/>
    <w:rsid w:val="336DEF5E"/>
    <w:rsid w:val="336EF1E0"/>
    <w:rsid w:val="3427C996"/>
    <w:rsid w:val="34499EC1"/>
    <w:rsid w:val="3460F15E"/>
    <w:rsid w:val="34A4F135"/>
    <w:rsid w:val="34F5D938"/>
    <w:rsid w:val="355A732C"/>
    <w:rsid w:val="35A2B7AF"/>
    <w:rsid w:val="361C7A17"/>
    <w:rsid w:val="36DB0C1D"/>
    <w:rsid w:val="3727292A"/>
    <w:rsid w:val="37A2BF44"/>
    <w:rsid w:val="38018474"/>
    <w:rsid w:val="382E81F6"/>
    <w:rsid w:val="3834EBF3"/>
    <w:rsid w:val="386C9C34"/>
    <w:rsid w:val="38DC83B1"/>
    <w:rsid w:val="39098114"/>
    <w:rsid w:val="39165E7E"/>
    <w:rsid w:val="39F2548F"/>
    <w:rsid w:val="3B2E89E8"/>
    <w:rsid w:val="3B3F4E83"/>
    <w:rsid w:val="3C19738F"/>
    <w:rsid w:val="3C5883EA"/>
    <w:rsid w:val="3C73F087"/>
    <w:rsid w:val="3CFB9121"/>
    <w:rsid w:val="3D303632"/>
    <w:rsid w:val="3D46EA08"/>
    <w:rsid w:val="3DA9AA52"/>
    <w:rsid w:val="3DB6D249"/>
    <w:rsid w:val="3E6F8165"/>
    <w:rsid w:val="3E73C05F"/>
    <w:rsid w:val="3E9F0129"/>
    <w:rsid w:val="3EF1FA44"/>
    <w:rsid w:val="3F4FD00D"/>
    <w:rsid w:val="3F7A4DE3"/>
    <w:rsid w:val="3FBC7C03"/>
    <w:rsid w:val="4000C982"/>
    <w:rsid w:val="40B2326D"/>
    <w:rsid w:val="40BB32AA"/>
    <w:rsid w:val="40EC33D1"/>
    <w:rsid w:val="411D712A"/>
    <w:rsid w:val="41364BBA"/>
    <w:rsid w:val="41370B55"/>
    <w:rsid w:val="41463B1D"/>
    <w:rsid w:val="420F855F"/>
    <w:rsid w:val="4250CA46"/>
    <w:rsid w:val="42C3DF8A"/>
    <w:rsid w:val="4344BA2E"/>
    <w:rsid w:val="43B8BA11"/>
    <w:rsid w:val="443635D5"/>
    <w:rsid w:val="444B04EA"/>
    <w:rsid w:val="44B09D4C"/>
    <w:rsid w:val="44E49D32"/>
    <w:rsid w:val="45C3B8AF"/>
    <w:rsid w:val="45E04D52"/>
    <w:rsid w:val="4603F571"/>
    <w:rsid w:val="46084FD5"/>
    <w:rsid w:val="46428069"/>
    <w:rsid w:val="46621808"/>
    <w:rsid w:val="46805656"/>
    <w:rsid w:val="468FBCAD"/>
    <w:rsid w:val="4767A9B6"/>
    <w:rsid w:val="476F466B"/>
    <w:rsid w:val="47F7A3D8"/>
    <w:rsid w:val="47FFE17E"/>
    <w:rsid w:val="482A8382"/>
    <w:rsid w:val="4861B630"/>
    <w:rsid w:val="4886C727"/>
    <w:rsid w:val="48ADB28A"/>
    <w:rsid w:val="48B89599"/>
    <w:rsid w:val="49275FB2"/>
    <w:rsid w:val="49D18D97"/>
    <w:rsid w:val="4A5FD7F2"/>
    <w:rsid w:val="4A849218"/>
    <w:rsid w:val="4AAD64DF"/>
    <w:rsid w:val="4BABB5F1"/>
    <w:rsid w:val="4BAD2CE3"/>
    <w:rsid w:val="4BF27973"/>
    <w:rsid w:val="4CBD2481"/>
    <w:rsid w:val="4D64B788"/>
    <w:rsid w:val="4DAE5202"/>
    <w:rsid w:val="4E1D2641"/>
    <w:rsid w:val="4EC9B5A2"/>
    <w:rsid w:val="4ED57B3C"/>
    <w:rsid w:val="4F019828"/>
    <w:rsid w:val="4F6874C4"/>
    <w:rsid w:val="5176D10E"/>
    <w:rsid w:val="51D5B906"/>
    <w:rsid w:val="5221F543"/>
    <w:rsid w:val="526E6DBA"/>
    <w:rsid w:val="5310B21D"/>
    <w:rsid w:val="535405FB"/>
    <w:rsid w:val="53AE25E9"/>
    <w:rsid w:val="53E32A1C"/>
    <w:rsid w:val="5403DF52"/>
    <w:rsid w:val="540AEF80"/>
    <w:rsid w:val="540B2793"/>
    <w:rsid w:val="541FB3DB"/>
    <w:rsid w:val="5495E0EB"/>
    <w:rsid w:val="54DFA54C"/>
    <w:rsid w:val="54FD3A0B"/>
    <w:rsid w:val="558A0885"/>
    <w:rsid w:val="55BC38F4"/>
    <w:rsid w:val="55C32893"/>
    <w:rsid w:val="55E932E8"/>
    <w:rsid w:val="55EE2DF8"/>
    <w:rsid w:val="579276FD"/>
    <w:rsid w:val="57959ADA"/>
    <w:rsid w:val="57B18D2C"/>
    <w:rsid w:val="58FE1C86"/>
    <w:rsid w:val="5935D33B"/>
    <w:rsid w:val="5A38B73C"/>
    <w:rsid w:val="5A6835CC"/>
    <w:rsid w:val="5AC613CE"/>
    <w:rsid w:val="5AD33963"/>
    <w:rsid w:val="5CD08103"/>
    <w:rsid w:val="5D23C27B"/>
    <w:rsid w:val="5E3FD44C"/>
    <w:rsid w:val="5E42617A"/>
    <w:rsid w:val="5E9353DA"/>
    <w:rsid w:val="5EBEBAEC"/>
    <w:rsid w:val="5F0845F4"/>
    <w:rsid w:val="5F4D1CD1"/>
    <w:rsid w:val="5F7DD16F"/>
    <w:rsid w:val="605C5719"/>
    <w:rsid w:val="605FC5A6"/>
    <w:rsid w:val="610339CB"/>
    <w:rsid w:val="617F9DD6"/>
    <w:rsid w:val="61D30847"/>
    <w:rsid w:val="622048FF"/>
    <w:rsid w:val="627A8C42"/>
    <w:rsid w:val="6283AA2F"/>
    <w:rsid w:val="62D6BAFC"/>
    <w:rsid w:val="6350363F"/>
    <w:rsid w:val="63BD9E9B"/>
    <w:rsid w:val="64D61178"/>
    <w:rsid w:val="6590A1AE"/>
    <w:rsid w:val="68084C04"/>
    <w:rsid w:val="689BF298"/>
    <w:rsid w:val="68A3793D"/>
    <w:rsid w:val="68CE3F05"/>
    <w:rsid w:val="68DEAA17"/>
    <w:rsid w:val="691E43DB"/>
    <w:rsid w:val="69615FA5"/>
    <w:rsid w:val="699C34A2"/>
    <w:rsid w:val="6ABC7261"/>
    <w:rsid w:val="6B4289C7"/>
    <w:rsid w:val="6B760B86"/>
    <w:rsid w:val="6B8E04F3"/>
    <w:rsid w:val="6BD72259"/>
    <w:rsid w:val="6C0593B7"/>
    <w:rsid w:val="6C7975B9"/>
    <w:rsid w:val="6C7E9FCC"/>
    <w:rsid w:val="6D93DF69"/>
    <w:rsid w:val="6DA9AA9D"/>
    <w:rsid w:val="6DBB4B16"/>
    <w:rsid w:val="6E534ECC"/>
    <w:rsid w:val="6E57B2A9"/>
    <w:rsid w:val="6E8E8F9E"/>
    <w:rsid w:val="6FA63E45"/>
    <w:rsid w:val="6FE28E83"/>
    <w:rsid w:val="6FEF1F2D"/>
    <w:rsid w:val="701D8BCF"/>
    <w:rsid w:val="7086EBB4"/>
    <w:rsid w:val="70DD2A25"/>
    <w:rsid w:val="71F51E01"/>
    <w:rsid w:val="721E05ED"/>
    <w:rsid w:val="7252CAF4"/>
    <w:rsid w:val="72FA23E8"/>
    <w:rsid w:val="731BF0CA"/>
    <w:rsid w:val="736F8EDD"/>
    <w:rsid w:val="73DC4C86"/>
    <w:rsid w:val="7418EC21"/>
    <w:rsid w:val="7448CBFA"/>
    <w:rsid w:val="74609AFF"/>
    <w:rsid w:val="74B0480A"/>
    <w:rsid w:val="74FAF236"/>
    <w:rsid w:val="754E24E7"/>
    <w:rsid w:val="756BC6D0"/>
    <w:rsid w:val="75A31ED0"/>
    <w:rsid w:val="76384B66"/>
    <w:rsid w:val="763C0CFE"/>
    <w:rsid w:val="7641AF55"/>
    <w:rsid w:val="7651EE62"/>
    <w:rsid w:val="766D24AD"/>
    <w:rsid w:val="76AAC682"/>
    <w:rsid w:val="7737A6D2"/>
    <w:rsid w:val="7768F7BF"/>
    <w:rsid w:val="7772E34F"/>
    <w:rsid w:val="77C65C86"/>
    <w:rsid w:val="77E7F6F2"/>
    <w:rsid w:val="780AB935"/>
    <w:rsid w:val="787EF3C2"/>
    <w:rsid w:val="78D1684C"/>
    <w:rsid w:val="78D57612"/>
    <w:rsid w:val="78FA0FA7"/>
    <w:rsid w:val="7949345D"/>
    <w:rsid w:val="7958311E"/>
    <w:rsid w:val="795F6522"/>
    <w:rsid w:val="79D9979C"/>
    <w:rsid w:val="7A4825BC"/>
    <w:rsid w:val="7A837895"/>
    <w:rsid w:val="7BE0AB9D"/>
    <w:rsid w:val="7C4F0C56"/>
    <w:rsid w:val="7C875FF9"/>
    <w:rsid w:val="7CD39453"/>
    <w:rsid w:val="7CDDA58D"/>
    <w:rsid w:val="7CE2D2BC"/>
    <w:rsid w:val="7D1C905A"/>
    <w:rsid w:val="7D7A1CC3"/>
    <w:rsid w:val="7E40D5CA"/>
    <w:rsid w:val="7E92EECA"/>
    <w:rsid w:val="7F161458"/>
    <w:rsid w:val="7F240115"/>
    <w:rsid w:val="7F69AE7C"/>
    <w:rsid w:val="7F7EAF6A"/>
    <w:rsid w:val="7FF04268"/>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8A59D"/>
  <w15:chartTrackingRefBased/>
  <w15:docId w15:val="{BC9C2CCE-0E47-4B59-AF87-8BCB5C2A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097"/>
    <w:pPr>
      <w:jc w:val="both"/>
    </w:pPr>
    <w:rPr>
      <w:rFonts w:ascii="Aptos Light" w:hAnsi="Aptos Light" w:cs="Arial (Cuerpo en alfabeto compl"/>
      <w:color w:val="404040" w:themeColor="text1" w:themeTint="BF"/>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A2467"/>
    <w:pPr>
      <w:spacing w:before="100" w:beforeAutospacing="1" w:after="100" w:afterAutospacing="1"/>
    </w:pPr>
    <w:rPr>
      <w:rFonts w:ascii="Times New Roman" w:eastAsia="Times New Roman" w:hAnsi="Times New Roman" w:cs="Times New Roman"/>
      <w:lang w:eastAsia="es-ES_tradnl"/>
    </w:rPr>
  </w:style>
  <w:style w:type="paragraph" w:styleId="Encabezado">
    <w:name w:val="header"/>
    <w:basedOn w:val="Normal"/>
    <w:link w:val="EncabezadoCar"/>
    <w:uiPriority w:val="99"/>
    <w:unhideWhenUsed/>
    <w:rsid w:val="004F2CFA"/>
    <w:pPr>
      <w:tabs>
        <w:tab w:val="center" w:pos="4419"/>
        <w:tab w:val="right" w:pos="8838"/>
      </w:tabs>
    </w:pPr>
  </w:style>
  <w:style w:type="character" w:customStyle="1" w:styleId="EncabezadoCar">
    <w:name w:val="Encabezado Car"/>
    <w:basedOn w:val="Fuentedeprrafopredeter"/>
    <w:link w:val="Encabezado"/>
    <w:uiPriority w:val="99"/>
    <w:rsid w:val="004F2CFA"/>
  </w:style>
  <w:style w:type="paragraph" w:styleId="Piedepgina">
    <w:name w:val="footer"/>
    <w:basedOn w:val="Normal"/>
    <w:link w:val="PiedepginaCar"/>
    <w:uiPriority w:val="99"/>
    <w:unhideWhenUsed/>
    <w:rsid w:val="004F2CFA"/>
    <w:pPr>
      <w:tabs>
        <w:tab w:val="center" w:pos="4419"/>
        <w:tab w:val="right" w:pos="8838"/>
      </w:tabs>
    </w:pPr>
  </w:style>
  <w:style w:type="character" w:customStyle="1" w:styleId="PiedepginaCar">
    <w:name w:val="Pie de página Car"/>
    <w:basedOn w:val="Fuentedeprrafopredeter"/>
    <w:link w:val="Piedepgina"/>
    <w:uiPriority w:val="99"/>
    <w:rsid w:val="004F2CFA"/>
  </w:style>
  <w:style w:type="table" w:styleId="Tablaconcuadrcula">
    <w:name w:val="Table Grid"/>
    <w:basedOn w:val="Tablanormal"/>
    <w:uiPriority w:val="39"/>
    <w:rsid w:val="00C43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D336F2"/>
  </w:style>
  <w:style w:type="paragraph" w:styleId="Prrafodelista">
    <w:name w:val="List Paragraph"/>
    <w:basedOn w:val="Normal"/>
    <w:uiPriority w:val="34"/>
    <w:qFormat/>
    <w:rsid w:val="000D46F6"/>
    <w:pPr>
      <w:ind w:left="720"/>
      <w:contextualSpacing/>
    </w:pPr>
  </w:style>
  <w:style w:type="paragraph" w:styleId="Textodeglobo">
    <w:name w:val="Balloon Text"/>
    <w:basedOn w:val="Normal"/>
    <w:link w:val="TextodegloboCar"/>
    <w:uiPriority w:val="99"/>
    <w:semiHidden/>
    <w:unhideWhenUsed/>
    <w:rsid w:val="009567F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67FA"/>
    <w:rPr>
      <w:rFonts w:ascii="Segoe UI" w:hAnsi="Segoe UI" w:cs="Segoe UI"/>
      <w:sz w:val="18"/>
      <w:szCs w:val="18"/>
    </w:rPr>
  </w:style>
  <w:style w:type="character" w:styleId="Refdecomentario">
    <w:name w:val="annotation reference"/>
    <w:basedOn w:val="Fuentedeprrafopredeter"/>
    <w:uiPriority w:val="99"/>
    <w:semiHidden/>
    <w:unhideWhenUsed/>
    <w:rsid w:val="000F4AC3"/>
    <w:rPr>
      <w:sz w:val="16"/>
      <w:szCs w:val="16"/>
    </w:rPr>
  </w:style>
  <w:style w:type="paragraph" w:styleId="Textocomentario">
    <w:name w:val="annotation text"/>
    <w:basedOn w:val="Normal"/>
    <w:link w:val="TextocomentarioCar"/>
    <w:uiPriority w:val="99"/>
    <w:unhideWhenUsed/>
    <w:rsid w:val="000F4AC3"/>
    <w:rPr>
      <w:sz w:val="20"/>
      <w:szCs w:val="20"/>
    </w:rPr>
  </w:style>
  <w:style w:type="character" w:customStyle="1" w:styleId="TextocomentarioCar">
    <w:name w:val="Texto comentario Car"/>
    <w:basedOn w:val="Fuentedeprrafopredeter"/>
    <w:link w:val="Textocomentario"/>
    <w:uiPriority w:val="99"/>
    <w:rsid w:val="000F4AC3"/>
    <w:rPr>
      <w:sz w:val="20"/>
      <w:szCs w:val="20"/>
    </w:rPr>
  </w:style>
  <w:style w:type="paragraph" w:styleId="Asuntodelcomentario">
    <w:name w:val="annotation subject"/>
    <w:basedOn w:val="Textocomentario"/>
    <w:next w:val="Textocomentario"/>
    <w:link w:val="AsuntodelcomentarioCar"/>
    <w:uiPriority w:val="99"/>
    <w:semiHidden/>
    <w:unhideWhenUsed/>
    <w:rsid w:val="000F4AC3"/>
    <w:rPr>
      <w:b/>
      <w:bCs/>
    </w:rPr>
  </w:style>
  <w:style w:type="character" w:customStyle="1" w:styleId="AsuntodelcomentarioCar">
    <w:name w:val="Asunto del comentario Car"/>
    <w:basedOn w:val="TextocomentarioCar"/>
    <w:link w:val="Asuntodelcomentario"/>
    <w:uiPriority w:val="99"/>
    <w:semiHidden/>
    <w:rsid w:val="000F4AC3"/>
    <w:rPr>
      <w:b/>
      <w:bCs/>
      <w:sz w:val="20"/>
      <w:szCs w:val="20"/>
    </w:rPr>
  </w:style>
  <w:style w:type="paragraph" w:styleId="Revisin">
    <w:name w:val="Revision"/>
    <w:hidden/>
    <w:uiPriority w:val="99"/>
    <w:semiHidden/>
    <w:rsid w:val="00F446F2"/>
  </w:style>
  <w:style w:type="character" w:styleId="Mencionar">
    <w:name w:val="Mention"/>
    <w:basedOn w:val="Fuentedeprrafopredeter"/>
    <w:uiPriority w:val="99"/>
    <w:unhideWhenUsed/>
    <w:rsid w:val="00D31BC2"/>
    <w:rPr>
      <w:color w:val="2B579A"/>
      <w:shd w:val="clear" w:color="auto" w:fill="E1DFDD"/>
    </w:rPr>
  </w:style>
  <w:style w:type="character" w:styleId="Mencinsinresolver">
    <w:name w:val="Unresolved Mention"/>
    <w:basedOn w:val="Fuentedeprrafopredeter"/>
    <w:uiPriority w:val="99"/>
    <w:unhideWhenUsed/>
    <w:rsid w:val="0086776C"/>
    <w:rPr>
      <w:color w:val="605E5C"/>
      <w:shd w:val="clear" w:color="auto" w:fill="E1DFDD"/>
    </w:rPr>
  </w:style>
  <w:style w:type="paragraph" w:styleId="Textoindependiente">
    <w:name w:val="Body Text"/>
    <w:basedOn w:val="Normal"/>
    <w:link w:val="TextoindependienteCar"/>
    <w:uiPriority w:val="1"/>
    <w:qFormat/>
    <w:rsid w:val="00C032AC"/>
    <w:pPr>
      <w:widowControl w:val="0"/>
      <w:autoSpaceDE w:val="0"/>
      <w:autoSpaceDN w:val="0"/>
    </w:pPr>
    <w:rPr>
      <w:rFonts w:ascii="Calibri" w:eastAsia="Calibri" w:hAnsi="Calibri" w:cs="Calibri"/>
      <w:szCs w:val="22"/>
      <w:lang w:val="en-US"/>
    </w:rPr>
  </w:style>
  <w:style w:type="character" w:customStyle="1" w:styleId="TextoindependienteCar">
    <w:name w:val="Texto independiente Car"/>
    <w:basedOn w:val="Fuentedeprrafopredeter"/>
    <w:link w:val="Textoindependiente"/>
    <w:uiPriority w:val="1"/>
    <w:rsid w:val="00C032AC"/>
    <w:rPr>
      <w:rFonts w:ascii="Calibri" w:eastAsia="Calibri" w:hAnsi="Calibri" w:cs="Calibri"/>
      <w:sz w:val="22"/>
      <w:szCs w:val="22"/>
      <w:lang w:val="en-US"/>
    </w:rPr>
  </w:style>
  <w:style w:type="character" w:styleId="Hipervnculo">
    <w:name w:val="Hyperlink"/>
    <w:basedOn w:val="Fuentedeprrafopredeter"/>
    <w:uiPriority w:val="99"/>
    <w:unhideWhenUsed/>
    <w:rsid w:val="002A6A9A"/>
    <w:rPr>
      <w:color w:val="002FA7" w:themeColor="hyperlink"/>
      <w:u w:val="single"/>
    </w:rPr>
  </w:style>
  <w:style w:type="character" w:customStyle="1" w:styleId="normaltextrun">
    <w:name w:val="normaltextrun"/>
    <w:basedOn w:val="Fuentedeprrafopredeter"/>
    <w:rsid w:val="00BC686B"/>
  </w:style>
  <w:style w:type="character" w:styleId="Hipervnculovisitado">
    <w:name w:val="FollowedHyperlink"/>
    <w:basedOn w:val="Fuentedeprrafopredeter"/>
    <w:uiPriority w:val="99"/>
    <w:semiHidden/>
    <w:unhideWhenUsed/>
    <w:rsid w:val="00D917DB"/>
    <w:rPr>
      <w:color w:val="002FA7" w:themeColor="followedHyperlink"/>
      <w:u w:val="single"/>
    </w:rPr>
  </w:style>
  <w:style w:type="paragraph" w:styleId="Textonotapie">
    <w:name w:val="footnote text"/>
    <w:basedOn w:val="Normal"/>
    <w:link w:val="TextonotapieCar"/>
    <w:uiPriority w:val="99"/>
    <w:semiHidden/>
    <w:unhideWhenUsed/>
    <w:rsid w:val="00945EA8"/>
    <w:rPr>
      <w:sz w:val="20"/>
      <w:szCs w:val="20"/>
    </w:rPr>
  </w:style>
  <w:style w:type="character" w:customStyle="1" w:styleId="TextonotapieCar">
    <w:name w:val="Texto nota pie Car"/>
    <w:basedOn w:val="Fuentedeprrafopredeter"/>
    <w:link w:val="Textonotapie"/>
    <w:uiPriority w:val="99"/>
    <w:semiHidden/>
    <w:rsid w:val="00945EA8"/>
    <w:rPr>
      <w:rFonts w:ascii="Aptos Light" w:hAnsi="Aptos Light" w:cs="Arial (Cuerpo en alfabeto compl"/>
      <w:color w:val="404040" w:themeColor="text1" w:themeTint="BF"/>
      <w:sz w:val="20"/>
      <w:szCs w:val="20"/>
    </w:rPr>
  </w:style>
  <w:style w:type="character" w:styleId="Refdenotaalpie">
    <w:name w:val="footnote reference"/>
    <w:basedOn w:val="Fuentedeprrafopredeter"/>
    <w:uiPriority w:val="99"/>
    <w:semiHidden/>
    <w:unhideWhenUsed/>
    <w:rsid w:val="00945E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656073">
      <w:bodyDiv w:val="1"/>
      <w:marLeft w:val="0"/>
      <w:marRight w:val="0"/>
      <w:marTop w:val="0"/>
      <w:marBottom w:val="0"/>
      <w:divBdr>
        <w:top w:val="none" w:sz="0" w:space="0" w:color="auto"/>
        <w:left w:val="none" w:sz="0" w:space="0" w:color="auto"/>
        <w:bottom w:val="none" w:sz="0" w:space="0" w:color="auto"/>
        <w:right w:val="none" w:sz="0" w:space="0" w:color="auto"/>
      </w:divBdr>
    </w:div>
    <w:div w:id="999582182">
      <w:bodyDiv w:val="1"/>
      <w:marLeft w:val="0"/>
      <w:marRight w:val="0"/>
      <w:marTop w:val="0"/>
      <w:marBottom w:val="0"/>
      <w:divBdr>
        <w:top w:val="none" w:sz="0" w:space="0" w:color="auto"/>
        <w:left w:val="none" w:sz="0" w:space="0" w:color="auto"/>
        <w:bottom w:val="none" w:sz="0" w:space="0" w:color="auto"/>
        <w:right w:val="none" w:sz="0" w:space="0" w:color="auto"/>
      </w:divBdr>
      <w:divsChild>
        <w:div w:id="372310418">
          <w:marLeft w:val="0"/>
          <w:marRight w:val="0"/>
          <w:marTop w:val="0"/>
          <w:marBottom w:val="0"/>
          <w:divBdr>
            <w:top w:val="none" w:sz="0" w:space="0" w:color="auto"/>
            <w:left w:val="none" w:sz="0" w:space="0" w:color="auto"/>
            <w:bottom w:val="none" w:sz="0" w:space="0" w:color="auto"/>
            <w:right w:val="none" w:sz="0" w:space="0" w:color="auto"/>
          </w:divBdr>
        </w:div>
      </w:divsChild>
    </w:div>
    <w:div w:id="1603495996">
      <w:bodyDiv w:val="1"/>
      <w:marLeft w:val="0"/>
      <w:marRight w:val="0"/>
      <w:marTop w:val="0"/>
      <w:marBottom w:val="0"/>
      <w:divBdr>
        <w:top w:val="none" w:sz="0" w:space="0" w:color="auto"/>
        <w:left w:val="none" w:sz="0" w:space="0" w:color="auto"/>
        <w:bottom w:val="none" w:sz="0" w:space="0" w:color="auto"/>
        <w:right w:val="none" w:sz="0" w:space="0" w:color="auto"/>
      </w:divBdr>
      <w:divsChild>
        <w:div w:id="165479070">
          <w:marLeft w:val="0"/>
          <w:marRight w:val="0"/>
          <w:marTop w:val="0"/>
          <w:marBottom w:val="0"/>
          <w:divBdr>
            <w:top w:val="none" w:sz="0" w:space="0" w:color="auto"/>
            <w:left w:val="none" w:sz="0" w:space="0" w:color="auto"/>
            <w:bottom w:val="none" w:sz="0" w:space="0" w:color="auto"/>
            <w:right w:val="none" w:sz="0" w:space="0" w:color="auto"/>
          </w:divBdr>
        </w:div>
      </w:divsChild>
    </w:div>
    <w:div w:id="18955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gcompass.com/es/chile/fondos-asset-management/deuda/deuda-chilena/fm-compass-proteccio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gcompass.com/es/chile/fondos-asset-management/deuda/deuda-chilena/fondo-mutuo-compass-deuda-chilen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gcompass.com/es/chile/fondos-asset-management/deuda/deuda-chilena/compass-deuda-plus-fondo-de-inversion/"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gcompass.com/es/chile/fondos-asset-management/deuda/deuda-chilena/fondo-mutuo-compass-liquide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VINCI COMPASS">
      <a:dk1>
        <a:srgbClr val="000000"/>
      </a:dk1>
      <a:lt1>
        <a:srgbClr val="FFFFFF"/>
      </a:lt1>
      <a:dk2>
        <a:srgbClr val="00AEEF"/>
      </a:dk2>
      <a:lt2>
        <a:srgbClr val="002FA7"/>
      </a:lt2>
      <a:accent1>
        <a:srgbClr val="0D61E6"/>
      </a:accent1>
      <a:accent2>
        <a:srgbClr val="015C83"/>
      </a:accent2>
      <a:accent3>
        <a:srgbClr val="38A888"/>
      </a:accent3>
      <a:accent4>
        <a:srgbClr val="69BF49"/>
      </a:accent4>
      <a:accent5>
        <a:srgbClr val="8683A3"/>
      </a:accent5>
      <a:accent6>
        <a:srgbClr val="8B3C67"/>
      </a:accent6>
      <a:hlink>
        <a:srgbClr val="002FA7"/>
      </a:hlink>
      <a:folHlink>
        <a:srgbClr val="002FA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d90a3d6-a44c-409d-a43f-03274dea5043">
      <UserInfo>
        <DisplayName>Tomas Guzman - Compass</DisplayName>
        <AccountId>203</AccountId>
        <AccountType/>
      </UserInfo>
      <UserInfo>
        <DisplayName>Eduardo Aldunce - Compass</DisplayName>
        <AccountId>112</AccountId>
        <AccountType/>
      </UserInfo>
      <UserInfo>
        <DisplayName>Tomas Venezian - Compass</DisplayName>
        <AccountId>121</AccountId>
        <AccountType/>
      </UserInfo>
      <UserInfo>
        <DisplayName>Nicolas Garcia-Huidobro - Compass</DisplayName>
        <AccountId>122</AccountId>
        <AccountType/>
      </UserInfo>
      <UserInfo>
        <DisplayName>Luis Pardo - Compass</DisplayName>
        <AccountId>166</AccountId>
        <AccountType/>
      </UserInfo>
      <UserInfo>
        <DisplayName>Jose Andrews - Compass</DisplayName>
        <AccountId>436</AccountId>
        <AccountType/>
      </UserInfo>
      <UserInfo>
        <DisplayName>Gonzalo Bardin - Compass</DisplayName>
        <AccountId>744</AccountId>
        <AccountType/>
      </UserInfo>
    </SharedWithUsers>
    <TaxCatchAll xmlns="7c021886-8276-4343-9dac-4899aae25304" xsi:nil="true"/>
    <lcf76f155ced4ddcb4097134ff3c332f xmlns="24cef8f4-f3bd-4b96-93c8-74ab1f9c1b5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B43DEB8FF1BEC34FA18EE4B8CC111980" ma:contentTypeVersion="18" ma:contentTypeDescription="Crear nuevo documento." ma:contentTypeScope="" ma:versionID="39e77c8ffc16fb4a09ae174f754af71f">
  <xsd:schema xmlns:xsd="http://www.w3.org/2001/XMLSchema" xmlns:xs="http://www.w3.org/2001/XMLSchema" xmlns:p="http://schemas.microsoft.com/office/2006/metadata/properties" xmlns:ns2="24cef8f4-f3bd-4b96-93c8-74ab1f9c1b5b" xmlns:ns3="bd90a3d6-a44c-409d-a43f-03274dea5043" xmlns:ns4="7c021886-8276-4343-9dac-4899aae25304" targetNamespace="http://schemas.microsoft.com/office/2006/metadata/properties" ma:root="true" ma:fieldsID="aa1e11cf9daa8fd3c6a26bc3a2f41172" ns2:_="" ns3:_="" ns4:_="">
    <xsd:import namespace="24cef8f4-f3bd-4b96-93c8-74ab1f9c1b5b"/>
    <xsd:import namespace="bd90a3d6-a44c-409d-a43f-03274dea5043"/>
    <xsd:import namespace="7c021886-8276-4343-9dac-4899aae253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ef8f4-f3bd-4b96-93c8-74ab1f9c1b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58df5329-9c23-409b-974d-9789dd446b6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0a3d6-a44c-409d-a43f-03274dea5043"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021886-8276-4343-9dac-4899aae2530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56c9727-b4d6-4690-85d5-be171f6d22ad}" ma:internalName="TaxCatchAll" ma:showField="CatchAllData" ma:web="7c021886-8276-4343-9dac-4899aae25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C87819-C3D6-440A-B8D7-F5AD959968BA}">
  <ds:schemaRefs>
    <ds:schemaRef ds:uri="http://schemas.microsoft.com/sharepoint/v3/contenttype/forms"/>
  </ds:schemaRefs>
</ds:datastoreItem>
</file>

<file path=customXml/itemProps2.xml><?xml version="1.0" encoding="utf-8"?>
<ds:datastoreItem xmlns:ds="http://schemas.openxmlformats.org/officeDocument/2006/customXml" ds:itemID="{F671DC20-BB6A-4C51-B263-9664B23A7D4A}">
  <ds:schemaRefs>
    <ds:schemaRef ds:uri="http://schemas.microsoft.com/office/2006/metadata/properties"/>
    <ds:schemaRef ds:uri="http://schemas.microsoft.com/office/infopath/2007/PartnerControls"/>
    <ds:schemaRef ds:uri="bd90a3d6-a44c-409d-a43f-03274dea5043"/>
    <ds:schemaRef ds:uri="7c021886-8276-4343-9dac-4899aae25304"/>
    <ds:schemaRef ds:uri="24cef8f4-f3bd-4b96-93c8-74ab1f9c1b5b"/>
  </ds:schemaRefs>
</ds:datastoreItem>
</file>

<file path=customXml/itemProps3.xml><?xml version="1.0" encoding="utf-8"?>
<ds:datastoreItem xmlns:ds="http://schemas.openxmlformats.org/officeDocument/2006/customXml" ds:itemID="{7B64F4D5-2DB8-429C-AB90-63B2F6D3BD0F}">
  <ds:schemaRefs>
    <ds:schemaRef ds:uri="http://schemas.openxmlformats.org/officeDocument/2006/bibliography"/>
  </ds:schemaRefs>
</ds:datastoreItem>
</file>

<file path=customXml/itemProps4.xml><?xml version="1.0" encoding="utf-8"?>
<ds:datastoreItem xmlns:ds="http://schemas.openxmlformats.org/officeDocument/2006/customXml" ds:itemID="{765676A4-6DDE-4E07-A869-83735EF20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ef8f4-f3bd-4b96-93c8-74ab1f9c1b5b"/>
    <ds:schemaRef ds:uri="bd90a3d6-a44c-409d-a43f-03274dea5043"/>
    <ds:schemaRef ds:uri="7c021886-8276-4343-9dac-4899aae25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779</Words>
  <Characters>4287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Tapia - Compass Group</dc:creator>
  <cp:keywords/>
  <dc:description/>
  <cp:lastModifiedBy>Pedro Inostroza Ibáñez</cp:lastModifiedBy>
  <cp:revision>7</cp:revision>
  <dcterms:created xsi:type="dcterms:W3CDTF">2025-07-15T13:42:00Z</dcterms:created>
  <dcterms:modified xsi:type="dcterms:W3CDTF">2025-07-15T16:52:00Z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0x010100B43DEB8FF1BEC34FA18EE4B8CC111980</vt:lpwstr>
  </property>
  <property fmtid="{D5CDD505-2E9C-101B-9397-08002B2CF9AE}" pid="3" name="MediaServiceImageTags">
    <vt:lpwstr/>
  </property>
  <property fmtid="{D5CDD505-2E9C-101B-9397-08002B2CF9AE}" pid="4" name="MSIP_Label_70b38fc1-c290-4ac1-afb8-94f2455a05a5_Enabled">
    <vt:lpwstr>true</vt:lpwstr>
  </property>
  <property fmtid="{D5CDD505-2E9C-101B-9397-08002B2CF9AE}" pid="5" name="MSIP_Label_70b38fc1-c290-4ac1-afb8-94f2455a05a5_SetDate">
    <vt:lpwstr>2024-01-15T23:33:58Z</vt:lpwstr>
  </property>
  <property fmtid="{D5CDD505-2E9C-101B-9397-08002B2CF9AE}" pid="6" name="MSIP_Label_70b38fc1-c290-4ac1-afb8-94f2455a05a5_Method">
    <vt:lpwstr>Privileged</vt:lpwstr>
  </property>
  <property fmtid="{D5CDD505-2E9C-101B-9397-08002B2CF9AE}" pid="7" name="MSIP_Label_70b38fc1-c290-4ac1-afb8-94f2455a05a5_Name">
    <vt:lpwstr>70b38fc1-c290-4ac1-afb8-94f2455a05a5</vt:lpwstr>
  </property>
  <property fmtid="{D5CDD505-2E9C-101B-9397-08002B2CF9AE}" pid="8" name="MSIP_Label_70b38fc1-c290-4ac1-afb8-94f2455a05a5_SiteId">
    <vt:lpwstr>cb612d37-461b-4d06-addf-52d3062c0007</vt:lpwstr>
  </property>
  <property fmtid="{D5CDD505-2E9C-101B-9397-08002B2CF9AE}" pid="9" name="MSIP_Label_70b38fc1-c290-4ac1-afb8-94f2455a05a5_ActionId">
    <vt:lpwstr>9c71072e-5e11-452d-a6f3-76b0b9878e82</vt:lpwstr>
  </property>
  <property fmtid="{D5CDD505-2E9C-101B-9397-08002B2CF9AE}" pid="10" name="MSIP_Label_70b38fc1-c290-4ac1-afb8-94f2455a05a5_ContentBits">
    <vt:lpwstr>0</vt:lpwstr>
  </property>
</Properties>
</file>